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7146A" w14:textId="77777777" w:rsidR="00002AF5" w:rsidRPr="000D40CE" w:rsidRDefault="00A12AA3" w:rsidP="00002AF5">
      <w:pPr>
        <w:jc w:val="center"/>
        <w:rPr>
          <w:b/>
        </w:rPr>
      </w:pPr>
      <w:r>
        <w:rPr>
          <w:b/>
        </w:rPr>
        <w:t xml:space="preserve">A tritium research program in </w:t>
      </w:r>
      <w:r w:rsidRPr="000D40CE">
        <w:rPr>
          <w:b/>
        </w:rPr>
        <w:t>support of burning plasma science and fusion energy</w:t>
      </w:r>
    </w:p>
    <w:p w14:paraId="49B6D530" w14:textId="27342744" w:rsidR="00002AF5" w:rsidRPr="000D40CE" w:rsidRDefault="00A12AA3" w:rsidP="00002AF5">
      <w:pPr>
        <w:jc w:val="center"/>
        <w:rPr>
          <w:sz w:val="22"/>
          <w:vertAlign w:val="superscript"/>
        </w:rPr>
      </w:pPr>
      <w:r w:rsidRPr="000D40CE">
        <w:rPr>
          <w:sz w:val="22"/>
        </w:rPr>
        <w:t>P. W. Humrickhouse</w:t>
      </w:r>
      <w:r w:rsidR="00002AF5" w:rsidRPr="000D40CE">
        <w:rPr>
          <w:sz w:val="22"/>
          <w:vertAlign w:val="superscript"/>
        </w:rPr>
        <w:t>1</w:t>
      </w:r>
      <w:r w:rsidR="006F0F0E" w:rsidRPr="000D40CE">
        <w:rPr>
          <w:sz w:val="22"/>
        </w:rPr>
        <w:t xml:space="preserve">, </w:t>
      </w:r>
      <w:r w:rsidR="004544E5" w:rsidRPr="000D40CE">
        <w:rPr>
          <w:sz w:val="22"/>
        </w:rPr>
        <w:t>M. Shimada</w:t>
      </w:r>
      <w:r w:rsidR="004544E5" w:rsidRPr="000D40CE">
        <w:rPr>
          <w:sz w:val="22"/>
          <w:vertAlign w:val="superscript"/>
        </w:rPr>
        <w:t>1</w:t>
      </w:r>
      <w:r w:rsidR="004544E5" w:rsidRPr="000D40CE">
        <w:rPr>
          <w:sz w:val="22"/>
        </w:rPr>
        <w:t>,</w:t>
      </w:r>
      <w:r w:rsidR="000D40CE">
        <w:rPr>
          <w:sz w:val="22"/>
        </w:rPr>
        <w:t xml:space="preserve"> </w:t>
      </w:r>
      <w:r w:rsidR="004544E5" w:rsidRPr="000D40CE">
        <w:rPr>
          <w:sz w:val="22"/>
        </w:rPr>
        <w:t>P. Calderoni</w:t>
      </w:r>
      <w:r w:rsidR="000D40CE" w:rsidRPr="000D40CE">
        <w:rPr>
          <w:sz w:val="22"/>
          <w:vertAlign w:val="superscript"/>
        </w:rPr>
        <w:t>1</w:t>
      </w:r>
      <w:r w:rsidR="004544E5" w:rsidRPr="000D40CE">
        <w:rPr>
          <w:sz w:val="22"/>
        </w:rPr>
        <w:t xml:space="preserve">, L. </w:t>
      </w:r>
      <w:r w:rsidR="008A364E">
        <w:rPr>
          <w:sz w:val="22"/>
        </w:rPr>
        <w:t xml:space="preserve">C. </w:t>
      </w:r>
      <w:r w:rsidR="004544E5" w:rsidRPr="000D40CE">
        <w:rPr>
          <w:sz w:val="22"/>
        </w:rPr>
        <w:t>Cadwallader</w:t>
      </w:r>
      <w:r w:rsidR="000D40CE" w:rsidRPr="000D40CE">
        <w:rPr>
          <w:sz w:val="22"/>
          <w:vertAlign w:val="superscript"/>
        </w:rPr>
        <w:t>1</w:t>
      </w:r>
      <w:r w:rsidR="004544E5" w:rsidRPr="000D40CE">
        <w:rPr>
          <w:sz w:val="22"/>
        </w:rPr>
        <w:t xml:space="preserve">, and B. </w:t>
      </w:r>
      <w:r w:rsidR="008A364E">
        <w:rPr>
          <w:sz w:val="22"/>
        </w:rPr>
        <w:t xml:space="preserve">J. </w:t>
      </w:r>
      <w:r w:rsidR="004544E5" w:rsidRPr="000D40CE">
        <w:rPr>
          <w:sz w:val="22"/>
        </w:rPr>
        <w:t>Merrill</w:t>
      </w:r>
      <w:r w:rsidR="004544E5" w:rsidRPr="000D40CE">
        <w:rPr>
          <w:sz w:val="22"/>
          <w:vertAlign w:val="superscript"/>
        </w:rPr>
        <w:t>1</w:t>
      </w:r>
      <w:r w:rsidR="00805EA4" w:rsidRPr="000D40CE">
        <w:rPr>
          <w:sz w:val="22"/>
        </w:rPr>
        <w:t xml:space="preserve"> </w:t>
      </w:r>
    </w:p>
    <w:p w14:paraId="061D7280" w14:textId="77777777" w:rsidR="00002AF5" w:rsidRPr="000D40CE" w:rsidRDefault="00002AF5" w:rsidP="00002AF5">
      <w:pPr>
        <w:jc w:val="center"/>
        <w:rPr>
          <w:sz w:val="22"/>
        </w:rPr>
      </w:pPr>
      <w:r w:rsidRPr="000D40CE">
        <w:rPr>
          <w:sz w:val="22"/>
          <w:vertAlign w:val="superscript"/>
        </w:rPr>
        <w:t>1</w:t>
      </w:r>
      <w:r w:rsidR="000F3608" w:rsidRPr="000D40CE">
        <w:rPr>
          <w:sz w:val="22"/>
        </w:rPr>
        <w:t>I</w:t>
      </w:r>
      <w:r w:rsidR="00A71003" w:rsidRPr="000D40CE">
        <w:rPr>
          <w:sz w:val="22"/>
        </w:rPr>
        <w:t>daho National Laboratory</w:t>
      </w:r>
    </w:p>
    <w:p w14:paraId="32BE46BB" w14:textId="77777777" w:rsidR="00002AF5" w:rsidRPr="000D40CE" w:rsidRDefault="00002AF5" w:rsidP="00002AF5">
      <w:pPr>
        <w:jc w:val="center"/>
        <w:rPr>
          <w:sz w:val="22"/>
        </w:rPr>
      </w:pPr>
      <w:r w:rsidRPr="000D40CE">
        <w:rPr>
          <w:b/>
          <w:sz w:val="22"/>
        </w:rPr>
        <w:t>Email</w:t>
      </w:r>
      <w:r w:rsidR="009107AF" w:rsidRPr="000D40CE">
        <w:rPr>
          <w:b/>
          <w:sz w:val="22"/>
        </w:rPr>
        <w:t xml:space="preserve"> of first author</w:t>
      </w:r>
      <w:r w:rsidRPr="000D40CE">
        <w:rPr>
          <w:b/>
          <w:sz w:val="22"/>
        </w:rPr>
        <w:t xml:space="preserve">: </w:t>
      </w:r>
      <w:r w:rsidR="00A12AA3" w:rsidRPr="000D40CE">
        <w:rPr>
          <w:sz w:val="22"/>
        </w:rPr>
        <w:t>paul.humrickhouse</w:t>
      </w:r>
      <w:r w:rsidRPr="000D40CE">
        <w:rPr>
          <w:sz w:val="22"/>
        </w:rPr>
        <w:t>@</w:t>
      </w:r>
      <w:r w:rsidR="00A12AA3" w:rsidRPr="000D40CE">
        <w:rPr>
          <w:sz w:val="22"/>
        </w:rPr>
        <w:t>inl.gov</w:t>
      </w:r>
    </w:p>
    <w:p w14:paraId="48AC508B" w14:textId="77777777" w:rsidR="00002AF5" w:rsidRPr="00BE174D" w:rsidRDefault="00002AF5" w:rsidP="00002AF5">
      <w:pPr>
        <w:rPr>
          <w:i/>
          <w:sz w:val="22"/>
        </w:rPr>
      </w:pPr>
    </w:p>
    <w:p w14:paraId="159AD1D2" w14:textId="77777777" w:rsidR="00805EA4" w:rsidRPr="005A0E91" w:rsidRDefault="00805EA4" w:rsidP="00002AF5">
      <w:pPr>
        <w:jc w:val="both"/>
        <w:rPr>
          <w:b/>
          <w:sz w:val="22"/>
        </w:rPr>
      </w:pPr>
      <w:r w:rsidRPr="005A0E91">
        <w:rPr>
          <w:b/>
          <w:sz w:val="22"/>
        </w:rPr>
        <w:t>Executive summary of proposed strategic element:</w:t>
      </w:r>
    </w:p>
    <w:p w14:paraId="6F701949" w14:textId="77777777" w:rsidR="00805EA4" w:rsidRPr="005A0E91" w:rsidRDefault="00805EA4" w:rsidP="00002AF5">
      <w:pPr>
        <w:jc w:val="both"/>
        <w:rPr>
          <w:sz w:val="22"/>
        </w:rPr>
      </w:pPr>
    </w:p>
    <w:p w14:paraId="3A8707F8" w14:textId="7B144269" w:rsidR="000D40CE" w:rsidRPr="00182E11" w:rsidRDefault="001E0A91" w:rsidP="008A364E">
      <w:pPr>
        <w:ind w:firstLine="360"/>
        <w:jc w:val="both"/>
        <w:rPr>
          <w:sz w:val="22"/>
          <w:szCs w:val="22"/>
        </w:rPr>
      </w:pPr>
      <w:r>
        <w:rPr>
          <w:sz w:val="22"/>
        </w:rPr>
        <w:t xml:space="preserve">Tritium is the fuel of </w:t>
      </w:r>
      <w:r w:rsidR="006D39D3">
        <w:rPr>
          <w:sz w:val="22"/>
        </w:rPr>
        <w:t xml:space="preserve">D-T </w:t>
      </w:r>
      <w:r>
        <w:rPr>
          <w:sz w:val="22"/>
        </w:rPr>
        <w:t>fusion</w:t>
      </w:r>
      <w:r w:rsidR="006D39D3">
        <w:rPr>
          <w:sz w:val="22"/>
        </w:rPr>
        <w:t xml:space="preserve"> reactors</w:t>
      </w:r>
      <w:r>
        <w:rPr>
          <w:sz w:val="22"/>
        </w:rPr>
        <w:t xml:space="preserve">, and it has long been understood that procurement and perpetuation of an adequate </w:t>
      </w:r>
      <w:r w:rsidR="002E7E8D">
        <w:rPr>
          <w:sz w:val="22"/>
        </w:rPr>
        <w:t xml:space="preserve">tritium </w:t>
      </w:r>
      <w:r>
        <w:rPr>
          <w:sz w:val="22"/>
        </w:rPr>
        <w:t xml:space="preserve">supply for future burning plasma devices is </w:t>
      </w:r>
      <w:r w:rsidR="002E7E8D">
        <w:rPr>
          <w:sz w:val="22"/>
        </w:rPr>
        <w:t xml:space="preserve">a </w:t>
      </w:r>
      <w:r>
        <w:rPr>
          <w:sz w:val="22"/>
        </w:rPr>
        <w:t xml:space="preserve">critical issue.  </w:t>
      </w:r>
      <w:r w:rsidR="00875373">
        <w:rPr>
          <w:sz w:val="22"/>
        </w:rPr>
        <w:t>D</w:t>
      </w:r>
      <w:r>
        <w:rPr>
          <w:sz w:val="22"/>
        </w:rPr>
        <w:t>evices that operate</w:t>
      </w:r>
      <w:r w:rsidR="00875373">
        <w:rPr>
          <w:sz w:val="22"/>
        </w:rPr>
        <w:t xml:space="preserve"> beyond (or alongside) ITER will need to</w:t>
      </w:r>
      <w:r>
        <w:rPr>
          <w:sz w:val="22"/>
        </w:rPr>
        <w:t xml:space="preserve"> breed a comparable amount of tritium to what they burn; the bred tritium must in turn be extracted for re-use as fuel.  This is complicated by the propensity of tritium to permeate through high-temperature materials, and the need to tightly control both permeation losses and tritium inventories for environmental, safety, and </w:t>
      </w:r>
      <w:r w:rsidR="002E7E8D">
        <w:rPr>
          <w:sz w:val="22"/>
        </w:rPr>
        <w:t>safeguards (</w:t>
      </w:r>
      <w:r>
        <w:rPr>
          <w:sz w:val="22"/>
        </w:rPr>
        <w:t>tritium accountancy</w:t>
      </w:r>
      <w:r w:rsidR="002E7E8D">
        <w:rPr>
          <w:sz w:val="22"/>
        </w:rPr>
        <w:t>)</w:t>
      </w:r>
      <w:r>
        <w:rPr>
          <w:sz w:val="22"/>
        </w:rPr>
        <w:t xml:space="preserve"> reasons.  </w:t>
      </w:r>
      <w:r w:rsidR="004544E5">
        <w:rPr>
          <w:sz w:val="22"/>
          <w:szCs w:val="22"/>
        </w:rPr>
        <w:t>ITER’s</w:t>
      </w:r>
      <w:r w:rsidR="004544E5" w:rsidRPr="00C236D6">
        <w:rPr>
          <w:sz w:val="22"/>
          <w:szCs w:val="22"/>
        </w:rPr>
        <w:t xml:space="preserve"> 4 kg </w:t>
      </w:r>
      <w:r w:rsidR="004544E5">
        <w:rPr>
          <w:sz w:val="22"/>
          <w:szCs w:val="22"/>
        </w:rPr>
        <w:t xml:space="preserve">maximum </w:t>
      </w:r>
      <w:r w:rsidR="004544E5" w:rsidRPr="00C236D6">
        <w:rPr>
          <w:sz w:val="22"/>
          <w:szCs w:val="22"/>
        </w:rPr>
        <w:t>tritium inventory</w:t>
      </w:r>
      <w:r w:rsidR="004544E5">
        <w:rPr>
          <w:sz w:val="22"/>
          <w:szCs w:val="22"/>
        </w:rPr>
        <w:t xml:space="preserve"> (~</w:t>
      </w:r>
      <w:r w:rsidR="004544E5" w:rsidRPr="00C236D6">
        <w:rPr>
          <w:sz w:val="22"/>
          <w:szCs w:val="22"/>
        </w:rPr>
        <w:t>1.5x10</w:t>
      </w:r>
      <w:r w:rsidR="004544E5" w:rsidRPr="00C236D6">
        <w:rPr>
          <w:sz w:val="22"/>
          <w:szCs w:val="22"/>
          <w:vertAlign w:val="superscript"/>
        </w:rPr>
        <w:t>18</w:t>
      </w:r>
      <w:r w:rsidR="004544E5" w:rsidRPr="00C236D6">
        <w:rPr>
          <w:sz w:val="22"/>
          <w:szCs w:val="22"/>
        </w:rPr>
        <w:t xml:space="preserve"> Bq</w:t>
      </w:r>
      <w:r w:rsidR="004544E5">
        <w:rPr>
          <w:sz w:val="22"/>
          <w:szCs w:val="22"/>
        </w:rPr>
        <w:t>)</w:t>
      </w:r>
      <w:r w:rsidR="004544E5" w:rsidRPr="00C236D6">
        <w:rPr>
          <w:sz w:val="22"/>
          <w:szCs w:val="22"/>
        </w:rPr>
        <w:t xml:space="preserve"> is almost </w:t>
      </w:r>
      <w:r w:rsidR="004544E5">
        <w:rPr>
          <w:sz w:val="22"/>
          <w:szCs w:val="22"/>
        </w:rPr>
        <w:t xml:space="preserve">twice the </w:t>
      </w:r>
      <w:r w:rsidR="004544E5" w:rsidRPr="00C236D6">
        <w:rPr>
          <w:sz w:val="22"/>
          <w:szCs w:val="22"/>
        </w:rPr>
        <w:t xml:space="preserve">radioactivity released </w:t>
      </w:r>
      <w:r w:rsidR="004544E5">
        <w:rPr>
          <w:sz w:val="22"/>
          <w:szCs w:val="22"/>
        </w:rPr>
        <w:t>from</w:t>
      </w:r>
      <w:r w:rsidR="004544E5" w:rsidRPr="00C236D6">
        <w:rPr>
          <w:sz w:val="22"/>
          <w:szCs w:val="22"/>
        </w:rPr>
        <w:t xml:space="preserve"> Fukushima Daiichi </w:t>
      </w:r>
      <w:r w:rsidR="004544E5">
        <w:rPr>
          <w:sz w:val="22"/>
          <w:szCs w:val="22"/>
        </w:rPr>
        <w:t>(</w:t>
      </w:r>
      <w:r w:rsidR="004544E5" w:rsidRPr="00C236D6">
        <w:rPr>
          <w:sz w:val="22"/>
          <w:szCs w:val="22"/>
        </w:rPr>
        <w:t>0.8x10</w:t>
      </w:r>
      <w:r w:rsidR="004544E5" w:rsidRPr="00C236D6">
        <w:rPr>
          <w:sz w:val="22"/>
          <w:szCs w:val="22"/>
          <w:vertAlign w:val="superscript"/>
        </w:rPr>
        <w:t>18</w:t>
      </w:r>
      <w:r w:rsidR="004544E5" w:rsidRPr="00C236D6">
        <w:rPr>
          <w:sz w:val="22"/>
          <w:szCs w:val="22"/>
        </w:rPr>
        <w:t xml:space="preserve"> Bq</w:t>
      </w:r>
      <w:r w:rsidR="004544E5">
        <w:rPr>
          <w:sz w:val="22"/>
          <w:szCs w:val="22"/>
        </w:rPr>
        <w:t>)</w:t>
      </w:r>
      <w:r w:rsidR="00267D22">
        <w:rPr>
          <w:sz w:val="22"/>
          <w:szCs w:val="22"/>
        </w:rPr>
        <w:t xml:space="preserve">, and </w:t>
      </w:r>
      <w:r w:rsidR="000D40CE">
        <w:rPr>
          <w:sz w:val="22"/>
          <w:szCs w:val="22"/>
        </w:rPr>
        <w:t>rele</w:t>
      </w:r>
      <w:r w:rsidR="000D40CE" w:rsidRPr="000D40CE">
        <w:rPr>
          <w:sz w:val="22"/>
          <w:szCs w:val="22"/>
        </w:rPr>
        <w:t xml:space="preserve">ases of tritium to the environment </w:t>
      </w:r>
      <w:r w:rsidR="00951CD7">
        <w:rPr>
          <w:sz w:val="22"/>
          <w:szCs w:val="22"/>
        </w:rPr>
        <w:t>or</w:t>
      </w:r>
      <w:r w:rsidR="00951CD7">
        <w:rPr>
          <w:sz w:val="22"/>
          <w:szCs w:val="22"/>
        </w:rPr>
        <w:t xml:space="preserve"> </w:t>
      </w:r>
      <w:r w:rsidR="00267D22">
        <w:rPr>
          <w:sz w:val="22"/>
          <w:szCs w:val="22"/>
        </w:rPr>
        <w:t>public</w:t>
      </w:r>
      <w:r w:rsidR="000D40CE" w:rsidRPr="000D40CE">
        <w:rPr>
          <w:sz w:val="22"/>
          <w:szCs w:val="22"/>
        </w:rPr>
        <w:t xml:space="preserve"> </w:t>
      </w:r>
      <w:r w:rsidR="00951CD7">
        <w:rPr>
          <w:sz w:val="22"/>
          <w:szCs w:val="22"/>
        </w:rPr>
        <w:t xml:space="preserve">exposures </w:t>
      </w:r>
      <w:r w:rsidR="004544E5" w:rsidRPr="00182E11">
        <w:rPr>
          <w:sz w:val="22"/>
          <w:szCs w:val="22"/>
        </w:rPr>
        <w:t>will eliminate any political advantage fusion has over other energy systems</w:t>
      </w:r>
      <w:r w:rsidR="000D40CE" w:rsidRPr="00182E11">
        <w:rPr>
          <w:sz w:val="22"/>
          <w:szCs w:val="22"/>
        </w:rPr>
        <w:t xml:space="preserve"> and fail to meet fusion’s promise of safe and clean energy</w:t>
      </w:r>
      <w:r w:rsidR="004544E5" w:rsidRPr="00182E11">
        <w:rPr>
          <w:sz w:val="22"/>
          <w:szCs w:val="22"/>
        </w:rPr>
        <w:t>.</w:t>
      </w:r>
    </w:p>
    <w:p w14:paraId="69499812" w14:textId="5344AF3A" w:rsidR="00390D05" w:rsidRPr="002F4341" w:rsidRDefault="00AC453E" w:rsidP="00182E11">
      <w:pPr>
        <w:ind w:firstLine="360"/>
        <w:jc w:val="both"/>
        <w:rPr>
          <w:sz w:val="22"/>
        </w:rPr>
      </w:pPr>
      <w:r>
        <w:rPr>
          <w:sz w:val="22"/>
        </w:rPr>
        <w:t>While there are long-</w:t>
      </w:r>
      <w:bookmarkStart w:id="0" w:name="_GoBack"/>
      <w:bookmarkEnd w:id="0"/>
      <w:r>
        <w:rPr>
          <w:sz w:val="22"/>
        </w:rPr>
        <w:t xml:space="preserve">established physical models for estimating </w:t>
      </w:r>
      <w:r w:rsidR="00951CD7">
        <w:rPr>
          <w:sz w:val="22"/>
        </w:rPr>
        <w:t>permeation</w:t>
      </w:r>
      <w:r>
        <w:rPr>
          <w:sz w:val="22"/>
        </w:rPr>
        <w:t xml:space="preserve">, they presently lack any real predictive power as a result of very large uncertainties in the underlying parameters.  </w:t>
      </w:r>
      <w:r w:rsidR="00AE0DFA">
        <w:rPr>
          <w:sz w:val="22"/>
        </w:rPr>
        <w:t xml:space="preserve">Investigation of the influence of such uncertainties in just a couple of the relevant transport properties in the recent FNSF </w:t>
      </w:r>
      <w:r w:rsidR="00AE0DFA" w:rsidRPr="004161B9">
        <w:rPr>
          <w:sz w:val="22"/>
        </w:rPr>
        <w:t>study [</w:t>
      </w:r>
      <w:r w:rsidR="003B5599" w:rsidRPr="004161B9">
        <w:rPr>
          <w:rStyle w:val="EndnoteReference"/>
          <w:sz w:val="22"/>
          <w:vertAlign w:val="baseline"/>
        </w:rPr>
        <w:endnoteReference w:id="1"/>
      </w:r>
      <w:r w:rsidR="00AE0DFA" w:rsidRPr="004161B9">
        <w:rPr>
          <w:sz w:val="22"/>
        </w:rPr>
        <w:t xml:space="preserve">] </w:t>
      </w:r>
      <w:r w:rsidR="00AE0DFA">
        <w:rPr>
          <w:sz w:val="22"/>
        </w:rPr>
        <w:t xml:space="preserve">resulted in tritium permeation loss estimates differing by about two orders of magnitude.  It is difficult to design tritium extraction and confinement systems </w:t>
      </w:r>
      <w:r w:rsidR="00C6489F">
        <w:rPr>
          <w:sz w:val="22"/>
        </w:rPr>
        <w:t xml:space="preserve">when the demand on them is so </w:t>
      </w:r>
      <w:r w:rsidR="00AE0DFA">
        <w:rPr>
          <w:sz w:val="22"/>
        </w:rPr>
        <w:t xml:space="preserve">uncertain, </w:t>
      </w:r>
      <w:r w:rsidR="00C6489F">
        <w:rPr>
          <w:sz w:val="22"/>
        </w:rPr>
        <w:t xml:space="preserve">and </w:t>
      </w:r>
      <w:r w:rsidR="00AE0DFA">
        <w:rPr>
          <w:sz w:val="22"/>
        </w:rPr>
        <w:t xml:space="preserve">reliance on conservatism or bounding estimates </w:t>
      </w:r>
      <w:r w:rsidR="00C6489F">
        <w:rPr>
          <w:sz w:val="22"/>
        </w:rPr>
        <w:t xml:space="preserve">may result </w:t>
      </w:r>
      <w:r w:rsidR="00875373">
        <w:rPr>
          <w:sz w:val="22"/>
        </w:rPr>
        <w:t xml:space="preserve">in </w:t>
      </w:r>
      <w:r w:rsidR="00C6489F">
        <w:rPr>
          <w:sz w:val="22"/>
        </w:rPr>
        <w:t>component and system designs that are unnecessarily costly and complex, or simply unrealizable.  For these reasons a robust research effort supporting tritium science, from the fundamental transport phenomena progressing to multiple-effect, integral scale experiments, is needed to support the realization of burning plasmas</w:t>
      </w:r>
      <w:r w:rsidR="00DE3F1D">
        <w:rPr>
          <w:sz w:val="22"/>
        </w:rPr>
        <w:t xml:space="preserve"> and fusion energy</w:t>
      </w:r>
      <w:r w:rsidR="00C6489F">
        <w:rPr>
          <w:sz w:val="22"/>
        </w:rPr>
        <w:t>.</w:t>
      </w:r>
      <w:r w:rsidR="009107AF" w:rsidRPr="002F4341">
        <w:rPr>
          <w:sz w:val="22"/>
        </w:rPr>
        <w:t xml:space="preserve"> </w:t>
      </w:r>
    </w:p>
    <w:p w14:paraId="475BE8B8" w14:textId="77777777" w:rsidR="004F3173" w:rsidRDefault="004F3173" w:rsidP="009107AF">
      <w:pPr>
        <w:jc w:val="both"/>
        <w:rPr>
          <w:rFonts w:eastAsia="Times New Roman"/>
          <w:i/>
          <w:sz w:val="22"/>
        </w:rPr>
      </w:pPr>
    </w:p>
    <w:p w14:paraId="2BFBB030" w14:textId="77777777" w:rsidR="004F3173" w:rsidRDefault="00A43803" w:rsidP="004F3173">
      <w:pPr>
        <w:widowControl w:val="0"/>
        <w:ind w:left="360" w:right="106" w:hanging="360"/>
        <w:contextualSpacing/>
        <w:jc w:val="both"/>
        <w:rPr>
          <w:rFonts w:eastAsia="Times New Roman"/>
          <w:b/>
          <w:sz w:val="22"/>
        </w:rPr>
      </w:pPr>
      <w:r>
        <w:rPr>
          <w:rFonts w:eastAsia="Times New Roman"/>
          <w:b/>
          <w:sz w:val="22"/>
          <w:highlight w:val="white"/>
        </w:rPr>
        <w:t>S</w:t>
      </w:r>
      <w:r w:rsidR="004F3173" w:rsidRPr="006F0F0E">
        <w:rPr>
          <w:rFonts w:eastAsia="Times New Roman"/>
          <w:b/>
          <w:sz w:val="22"/>
          <w:highlight w:val="white"/>
        </w:rPr>
        <w:t>cient</w:t>
      </w:r>
      <w:r w:rsidR="004F3173">
        <w:rPr>
          <w:rFonts w:eastAsia="Times New Roman"/>
          <w:b/>
          <w:sz w:val="22"/>
          <w:highlight w:val="white"/>
        </w:rPr>
        <w:t>ific and/or engineering opportunity</w:t>
      </w:r>
      <w:r w:rsidR="00390D05">
        <w:rPr>
          <w:rFonts w:eastAsia="Times New Roman"/>
          <w:b/>
          <w:sz w:val="22"/>
        </w:rPr>
        <w:t>:</w:t>
      </w:r>
    </w:p>
    <w:p w14:paraId="71A2F701" w14:textId="77777777" w:rsidR="004F3173" w:rsidRPr="009107AF" w:rsidRDefault="004F3173" w:rsidP="009107AF">
      <w:pPr>
        <w:jc w:val="both"/>
        <w:rPr>
          <w:rFonts w:eastAsia="Times New Roman"/>
          <w:i/>
          <w:sz w:val="22"/>
        </w:rPr>
      </w:pPr>
    </w:p>
    <w:p w14:paraId="13EACBD7" w14:textId="77777777" w:rsidR="00390D05" w:rsidRDefault="00DF4B0B" w:rsidP="008A364E">
      <w:pPr>
        <w:ind w:firstLine="360"/>
        <w:jc w:val="both"/>
        <w:rPr>
          <w:rFonts w:eastAsia="Times New Roman"/>
          <w:sz w:val="22"/>
        </w:rPr>
      </w:pPr>
      <w:r>
        <w:rPr>
          <w:rFonts w:eastAsia="Times New Roman"/>
          <w:sz w:val="22"/>
        </w:rPr>
        <w:t>S</w:t>
      </w:r>
      <w:r w:rsidR="00580A80">
        <w:rPr>
          <w:rFonts w:eastAsia="Times New Roman"/>
          <w:sz w:val="22"/>
        </w:rPr>
        <w:t xml:space="preserve">ome of the most fundamental aspects of </w:t>
      </w:r>
      <w:r>
        <w:rPr>
          <w:rFonts w:eastAsia="Times New Roman"/>
          <w:sz w:val="22"/>
        </w:rPr>
        <w:t>tritium</w:t>
      </w:r>
      <w:r w:rsidR="00580A80">
        <w:rPr>
          <w:rFonts w:eastAsia="Times New Roman"/>
          <w:sz w:val="22"/>
        </w:rPr>
        <w:t xml:space="preserve"> transport </w:t>
      </w:r>
      <w:r>
        <w:rPr>
          <w:rFonts w:eastAsia="Times New Roman"/>
          <w:sz w:val="22"/>
        </w:rPr>
        <w:t xml:space="preserve">important to future facilities </w:t>
      </w:r>
      <w:r w:rsidR="00580A80">
        <w:rPr>
          <w:rFonts w:eastAsia="Times New Roman"/>
          <w:sz w:val="22"/>
        </w:rPr>
        <w:t>have proved difficult to quantify.</w:t>
      </w:r>
      <w:r w:rsidR="00C62E11">
        <w:rPr>
          <w:rFonts w:eastAsia="Times New Roman"/>
          <w:sz w:val="22"/>
        </w:rPr>
        <w:t xml:space="preserve">  Consider, as an illustrative example, the analysis of the FNSF design referenced above.  In principle, estimating tritium p</w:t>
      </w:r>
      <w:r w:rsidR="00067FE3">
        <w:rPr>
          <w:rFonts w:eastAsia="Times New Roman"/>
          <w:sz w:val="22"/>
        </w:rPr>
        <w:t>ermeation and inventory in this (or any other) design depends on relatively few transport properties</w:t>
      </w:r>
      <w:r w:rsidR="00BF1D1C">
        <w:rPr>
          <w:rFonts w:eastAsia="Times New Roman"/>
          <w:sz w:val="22"/>
        </w:rPr>
        <w:t>, albeit ones that must be known for all the materials in the system</w:t>
      </w:r>
      <w:r w:rsidR="00067FE3">
        <w:rPr>
          <w:rFonts w:eastAsia="Times New Roman"/>
          <w:sz w:val="22"/>
        </w:rPr>
        <w:t>: the diffusivity</w:t>
      </w:r>
      <w:r w:rsidR="00BF1D1C">
        <w:rPr>
          <w:rFonts w:eastAsia="Times New Roman"/>
          <w:sz w:val="22"/>
        </w:rPr>
        <w:t>, solubility, dissociation and recombination rates at interfaces, and radiation damage-dependent trap concentrations and energies, all temperature dependent.</w:t>
      </w:r>
      <w:r w:rsidR="008A2CA2">
        <w:rPr>
          <w:rFonts w:eastAsia="Times New Roman"/>
          <w:sz w:val="22"/>
        </w:rPr>
        <w:t xml:space="preserve">  Though some of these such as diffusivity and solubility are in principle easy to measure in small experiments, such experiments are frequently not very repeatable; a well-known and particularly important example </w:t>
      </w:r>
      <w:r w:rsidR="007E2914">
        <w:rPr>
          <w:rFonts w:eastAsia="Times New Roman"/>
          <w:sz w:val="22"/>
        </w:rPr>
        <w:t>is the tritium solubility in lead-lithium, measurements of which span several orders of magnitude for reasons that are not understood.  The first step in understanding tritium transport in a complex environment, then, is identifying the reasons for such large discrepancies in fundamental parameters, through review of legacy data, performance of new experiments, and establishment of standards for their execution to demonstrate and ensure repeatability.</w:t>
      </w:r>
    </w:p>
    <w:p w14:paraId="1BD2D350" w14:textId="2E5073CD" w:rsidR="00267D22" w:rsidRDefault="00A6000E" w:rsidP="00182E11">
      <w:pPr>
        <w:ind w:firstLine="360"/>
        <w:jc w:val="both"/>
        <w:rPr>
          <w:rFonts w:eastAsia="Times New Roman"/>
          <w:sz w:val="22"/>
        </w:rPr>
      </w:pPr>
      <w:r>
        <w:rPr>
          <w:rFonts w:eastAsia="Times New Roman"/>
          <w:sz w:val="22"/>
        </w:rPr>
        <w:t xml:space="preserve">Once these fundamental issues have been resolved, meaningful multiple-effect experiments can be undertaken.  </w:t>
      </w:r>
      <w:r w:rsidR="00CE3DF0">
        <w:rPr>
          <w:rFonts w:eastAsia="Times New Roman"/>
          <w:sz w:val="22"/>
        </w:rPr>
        <w:t xml:space="preserve">This includes investigation of the influence of radiation damage on tritium transport, an area in which important work is already </w:t>
      </w:r>
      <w:r w:rsidR="00CE3DF0" w:rsidRPr="00964D94">
        <w:rPr>
          <w:rFonts w:eastAsia="Times New Roman"/>
          <w:sz w:val="22"/>
        </w:rPr>
        <w:t>ongoing [</w:t>
      </w:r>
      <w:r w:rsidR="004161B9" w:rsidRPr="00964D94">
        <w:rPr>
          <w:rStyle w:val="EndnoteReference"/>
          <w:rFonts w:eastAsia="Times New Roman"/>
          <w:sz w:val="22"/>
          <w:vertAlign w:val="baseline"/>
        </w:rPr>
        <w:endnoteReference w:id="2"/>
      </w:r>
      <w:r w:rsidR="00CE3DF0" w:rsidRPr="00964D94">
        <w:rPr>
          <w:rFonts w:eastAsia="Times New Roman"/>
          <w:sz w:val="22"/>
        </w:rPr>
        <w:t xml:space="preserve">], and </w:t>
      </w:r>
      <w:r w:rsidRPr="00964D94">
        <w:rPr>
          <w:rFonts w:eastAsia="Times New Roman"/>
          <w:sz w:val="22"/>
        </w:rPr>
        <w:t>demonstration</w:t>
      </w:r>
      <w:r>
        <w:rPr>
          <w:rFonts w:eastAsia="Times New Roman"/>
          <w:sz w:val="22"/>
        </w:rPr>
        <w:t xml:space="preserve"> of </w:t>
      </w:r>
      <w:r w:rsidR="00CE3DF0">
        <w:rPr>
          <w:rFonts w:eastAsia="Times New Roman"/>
          <w:sz w:val="22"/>
        </w:rPr>
        <w:t xml:space="preserve">coupled transport </w:t>
      </w:r>
      <w:r>
        <w:rPr>
          <w:rFonts w:eastAsia="Times New Roman"/>
          <w:sz w:val="22"/>
        </w:rPr>
        <w:t xml:space="preserve">phenomena underlying most tritium extraction concepts.  In a liquid breeder, for example, these involve transport of tritium in the liquid, release to another medium (e.g. a purge gas or solid permeation membrane), and diffusion or convection out of the system.  Concepts such as compact mass </w:t>
      </w:r>
      <w:r w:rsidRPr="003F24D5">
        <w:rPr>
          <w:rFonts w:eastAsia="Times New Roman"/>
          <w:sz w:val="22"/>
        </w:rPr>
        <w:t>extractors [</w:t>
      </w:r>
      <w:r w:rsidR="003F24D5" w:rsidRPr="003F24D5">
        <w:rPr>
          <w:rStyle w:val="EndnoteReference"/>
          <w:rFonts w:eastAsia="Times New Roman"/>
          <w:sz w:val="22"/>
          <w:vertAlign w:val="baseline"/>
        </w:rPr>
        <w:endnoteReference w:id="3"/>
      </w:r>
      <w:r w:rsidRPr="003F24D5">
        <w:rPr>
          <w:rFonts w:eastAsia="Times New Roman"/>
          <w:sz w:val="22"/>
        </w:rPr>
        <w:t>], droplet sieves [</w:t>
      </w:r>
      <w:r w:rsidR="003F24D5" w:rsidRPr="003F24D5">
        <w:rPr>
          <w:rStyle w:val="EndnoteReference"/>
          <w:rFonts w:eastAsia="Times New Roman"/>
          <w:sz w:val="22"/>
          <w:vertAlign w:val="baseline"/>
        </w:rPr>
        <w:endnoteReference w:id="4"/>
      </w:r>
      <w:r w:rsidRPr="003F24D5">
        <w:rPr>
          <w:rFonts w:eastAsia="Times New Roman"/>
          <w:sz w:val="22"/>
        </w:rPr>
        <w:t>], and vacuum permeators [</w:t>
      </w:r>
      <w:r w:rsidR="003F24D5" w:rsidRPr="003F24D5">
        <w:rPr>
          <w:rStyle w:val="EndnoteReference"/>
          <w:rFonts w:eastAsia="Times New Roman"/>
          <w:sz w:val="22"/>
          <w:vertAlign w:val="baseline"/>
        </w:rPr>
        <w:endnoteReference w:id="5"/>
      </w:r>
      <w:r w:rsidRPr="003F24D5">
        <w:rPr>
          <w:rFonts w:eastAsia="Times New Roman"/>
          <w:sz w:val="22"/>
        </w:rPr>
        <w:t>] are not new, and some theoretical estimates of their</w:t>
      </w:r>
      <w:r>
        <w:rPr>
          <w:rFonts w:eastAsia="Times New Roman"/>
          <w:sz w:val="22"/>
        </w:rPr>
        <w:t xml:space="preserve"> effectiveness are very promising.  </w:t>
      </w:r>
      <w:r w:rsidR="007212D7">
        <w:rPr>
          <w:rFonts w:eastAsia="Times New Roman"/>
          <w:sz w:val="22"/>
        </w:rPr>
        <w:t xml:space="preserve">But these have not been demonstrated experimentally, and there is presently no plan to do so in the U.S., though experiments are now being </w:t>
      </w:r>
      <w:r w:rsidR="00CE3DF0">
        <w:rPr>
          <w:rFonts w:eastAsia="Times New Roman"/>
          <w:sz w:val="22"/>
        </w:rPr>
        <w:t>pursu</w:t>
      </w:r>
      <w:r w:rsidR="007212D7">
        <w:rPr>
          <w:rFonts w:eastAsia="Times New Roman"/>
          <w:sz w:val="22"/>
        </w:rPr>
        <w:t xml:space="preserve">ed elsewhere in the world. </w:t>
      </w:r>
    </w:p>
    <w:p w14:paraId="77902445" w14:textId="77777777" w:rsidR="001759A0" w:rsidRPr="001759A0" w:rsidRDefault="001759A0" w:rsidP="00182E11">
      <w:pPr>
        <w:ind w:firstLine="360"/>
        <w:jc w:val="both"/>
        <w:rPr>
          <w:rFonts w:eastAsia="Times New Roman"/>
          <w:sz w:val="22"/>
        </w:rPr>
      </w:pPr>
      <w:r>
        <w:rPr>
          <w:rFonts w:eastAsia="Times New Roman"/>
          <w:sz w:val="22"/>
        </w:rPr>
        <w:lastRenderedPageBreak/>
        <w:t xml:space="preserve">The final stages of such a program should </w:t>
      </w:r>
      <w:r w:rsidR="00CE3DF0">
        <w:rPr>
          <w:rFonts w:eastAsia="Times New Roman"/>
          <w:sz w:val="22"/>
        </w:rPr>
        <w:t>progress toward</w:t>
      </w:r>
      <w:r>
        <w:rPr>
          <w:rFonts w:eastAsia="Times New Roman"/>
          <w:sz w:val="22"/>
        </w:rPr>
        <w:t xml:space="preserve"> testing at prototypic scales and in geometries and environments approaching the complexity of fusion.  This would include elements such as: 1) in-pile fission reactor loops for demonstration of on-line tritium breeding and extraction systems; 2) investigation of </w:t>
      </w:r>
      <w:r w:rsidR="001E108A">
        <w:rPr>
          <w:rFonts w:eastAsia="Times New Roman"/>
          <w:sz w:val="22"/>
        </w:rPr>
        <w:t xml:space="preserve">the influence of magnetic fields and resultant MHD flows on tritium transport; </w:t>
      </w:r>
      <w:r w:rsidR="007A77A5">
        <w:rPr>
          <w:rFonts w:eastAsia="Times New Roman"/>
          <w:sz w:val="22"/>
        </w:rPr>
        <w:t xml:space="preserve">and </w:t>
      </w:r>
      <w:r w:rsidR="001E108A">
        <w:rPr>
          <w:rFonts w:eastAsia="Times New Roman"/>
          <w:sz w:val="22"/>
        </w:rPr>
        <w:t>3) testing of blanket segment prototypes in both radiation and magnetic fields.</w:t>
      </w:r>
    </w:p>
    <w:p w14:paraId="6FCC50BE" w14:textId="77777777" w:rsidR="007212D7" w:rsidRPr="005A0E91" w:rsidRDefault="007212D7" w:rsidP="00E728C9">
      <w:pPr>
        <w:widowControl w:val="0"/>
        <w:ind w:right="106"/>
        <w:contextualSpacing/>
        <w:jc w:val="both"/>
        <w:rPr>
          <w:rFonts w:eastAsia="Times New Roman"/>
          <w:b/>
          <w:sz w:val="22"/>
        </w:rPr>
      </w:pPr>
    </w:p>
    <w:p w14:paraId="0C427599" w14:textId="77777777" w:rsidR="006F0F0E" w:rsidRDefault="00E728C9" w:rsidP="006F0F0E">
      <w:pPr>
        <w:pStyle w:val="ListParagraph"/>
        <w:widowControl w:val="0"/>
        <w:numPr>
          <w:ilvl w:val="0"/>
          <w:numId w:val="10"/>
        </w:numPr>
        <w:ind w:left="360" w:right="106"/>
        <w:jc w:val="both"/>
        <w:rPr>
          <w:rFonts w:eastAsia="Times New Roman"/>
          <w:b/>
          <w:sz w:val="22"/>
        </w:rPr>
      </w:pPr>
      <w:r w:rsidRPr="006F0F0E">
        <w:rPr>
          <w:rFonts w:eastAsia="Times New Roman"/>
          <w:b/>
          <w:sz w:val="22"/>
        </w:rPr>
        <w:t>E</w:t>
      </w:r>
      <w:r w:rsidR="00771595">
        <w:rPr>
          <w:rFonts w:eastAsia="Times New Roman"/>
          <w:b/>
          <w:sz w:val="22"/>
        </w:rPr>
        <w:t>nsuring</w:t>
      </w:r>
      <w:r w:rsidRPr="006F0F0E">
        <w:rPr>
          <w:rFonts w:eastAsia="Times New Roman"/>
          <w:b/>
          <w:sz w:val="22"/>
        </w:rPr>
        <w:t xml:space="preserve"> </w:t>
      </w:r>
      <w:r w:rsidR="00002AF5" w:rsidRPr="006F0F0E">
        <w:rPr>
          <w:rFonts w:eastAsia="Times New Roman"/>
          <w:b/>
          <w:sz w:val="22"/>
        </w:rPr>
        <w:t>U.S.</w:t>
      </w:r>
      <w:r w:rsidRPr="006F0F0E">
        <w:rPr>
          <w:rFonts w:eastAsia="Times New Roman"/>
          <w:b/>
          <w:sz w:val="22"/>
        </w:rPr>
        <w:t xml:space="preserve"> leadership</w:t>
      </w:r>
      <w:r w:rsidR="00805EA4" w:rsidRPr="006F0F0E">
        <w:rPr>
          <w:rFonts w:eastAsia="Times New Roman"/>
          <w:b/>
          <w:sz w:val="22"/>
        </w:rPr>
        <w:t xml:space="preserve"> </w:t>
      </w:r>
      <w:r w:rsidRPr="006F0F0E">
        <w:rPr>
          <w:rFonts w:eastAsia="Times New Roman"/>
          <w:b/>
          <w:sz w:val="22"/>
        </w:rPr>
        <w:t>in a</w:t>
      </w:r>
      <w:r w:rsidR="00805EA4" w:rsidRPr="006F0F0E">
        <w:rPr>
          <w:rFonts w:eastAsia="Times New Roman"/>
          <w:b/>
          <w:sz w:val="22"/>
        </w:rPr>
        <w:t xml:space="preserve"> field of plasma physics and/or fusion development</w:t>
      </w:r>
    </w:p>
    <w:p w14:paraId="6CA629B3" w14:textId="77777777" w:rsidR="006F0F0E" w:rsidRDefault="006F0F0E" w:rsidP="006F0F0E">
      <w:pPr>
        <w:pStyle w:val="ListParagraph"/>
        <w:widowControl w:val="0"/>
        <w:ind w:left="360" w:right="106"/>
        <w:jc w:val="both"/>
        <w:rPr>
          <w:rFonts w:eastAsia="Times New Roman"/>
          <w:b/>
          <w:sz w:val="22"/>
        </w:rPr>
      </w:pPr>
    </w:p>
    <w:p w14:paraId="3D9A9DEE" w14:textId="691EF37E" w:rsidR="006F0F0E" w:rsidRPr="006F0F0E" w:rsidRDefault="00141D3D" w:rsidP="00182E11">
      <w:pPr>
        <w:widowControl w:val="0"/>
        <w:ind w:right="106" w:firstLine="360"/>
        <w:jc w:val="both"/>
        <w:rPr>
          <w:rFonts w:eastAsia="Times New Roman"/>
          <w:sz w:val="22"/>
        </w:rPr>
      </w:pPr>
      <w:r>
        <w:rPr>
          <w:rFonts w:eastAsia="Times New Roman"/>
          <w:sz w:val="22"/>
        </w:rPr>
        <w:t xml:space="preserve">In contrast to other ITER members Europe, Japan, Korea, China, and India, the United States is neither a participant in the ITER TBM program nor do we have a DEMO (or comparable next step device) program.  Necessary tritium-related research and development is being driven by TBM and DEMO design data needs in these other countries but is simply not being performed in the U.S., and as a result we </w:t>
      </w:r>
      <w:r w:rsidR="006F2BF3">
        <w:rPr>
          <w:rFonts w:eastAsia="Times New Roman"/>
          <w:sz w:val="22"/>
        </w:rPr>
        <w:t>are not leader</w:t>
      </w:r>
      <w:r>
        <w:rPr>
          <w:rFonts w:eastAsia="Times New Roman"/>
          <w:sz w:val="22"/>
        </w:rPr>
        <w:t>s in this field.  An interesting empirical confirmation of this fact is found in the attendance demographics at the recent Symposium on Fusion Engineering</w:t>
      </w:r>
      <w:r w:rsidR="00182E11">
        <w:rPr>
          <w:rFonts w:eastAsia="Times New Roman"/>
          <w:sz w:val="22"/>
        </w:rPr>
        <w:t>, in which only one of</w:t>
      </w:r>
      <w:r w:rsidR="0031147B">
        <w:rPr>
          <w:rFonts w:eastAsia="Times New Roman"/>
          <w:sz w:val="22"/>
        </w:rPr>
        <w:t xml:space="preserve"> </w:t>
      </w:r>
      <w:r w:rsidR="003646F0">
        <w:rPr>
          <w:rFonts w:eastAsia="Times New Roman"/>
          <w:sz w:val="22"/>
        </w:rPr>
        <w:t>18 ora</w:t>
      </w:r>
      <w:r w:rsidR="0031147B">
        <w:rPr>
          <w:rFonts w:eastAsia="Times New Roman"/>
          <w:sz w:val="22"/>
        </w:rPr>
        <w:t xml:space="preserve">l presentations related to </w:t>
      </w:r>
      <w:r w:rsidR="00182E11">
        <w:rPr>
          <w:rFonts w:eastAsia="Times New Roman"/>
          <w:sz w:val="22"/>
        </w:rPr>
        <w:t xml:space="preserve">tritium </w:t>
      </w:r>
      <w:r w:rsidR="0031147B">
        <w:rPr>
          <w:rFonts w:eastAsia="Times New Roman"/>
          <w:sz w:val="22"/>
        </w:rPr>
        <w:t xml:space="preserve">breeding </w:t>
      </w:r>
      <w:r w:rsidR="00182E11">
        <w:rPr>
          <w:rFonts w:eastAsia="Times New Roman"/>
          <w:sz w:val="22"/>
        </w:rPr>
        <w:t xml:space="preserve">and extraction </w:t>
      </w:r>
      <w:r w:rsidR="003646F0">
        <w:rPr>
          <w:rFonts w:eastAsia="Times New Roman"/>
          <w:sz w:val="22"/>
        </w:rPr>
        <w:t xml:space="preserve">was </w:t>
      </w:r>
      <w:r w:rsidR="0031147B">
        <w:rPr>
          <w:rFonts w:eastAsia="Times New Roman"/>
          <w:sz w:val="22"/>
        </w:rPr>
        <w:t xml:space="preserve">given by member of a </w:t>
      </w:r>
      <w:r w:rsidR="003646F0">
        <w:rPr>
          <w:rFonts w:eastAsia="Times New Roman"/>
          <w:sz w:val="22"/>
        </w:rPr>
        <w:t>U.S</w:t>
      </w:r>
      <w:r w:rsidR="0031147B">
        <w:rPr>
          <w:rFonts w:eastAsia="Times New Roman"/>
          <w:sz w:val="22"/>
        </w:rPr>
        <w:t xml:space="preserve"> institution, </w:t>
      </w:r>
      <w:r w:rsidR="006F2BF3">
        <w:rPr>
          <w:rFonts w:eastAsia="Times New Roman"/>
          <w:sz w:val="22"/>
        </w:rPr>
        <w:t xml:space="preserve">that </w:t>
      </w:r>
      <w:r w:rsidR="0031147B">
        <w:rPr>
          <w:rFonts w:eastAsia="Times New Roman"/>
          <w:sz w:val="22"/>
        </w:rPr>
        <w:t xml:space="preserve">being an analysis of a foreign </w:t>
      </w:r>
      <w:r w:rsidR="006F2BF3">
        <w:rPr>
          <w:rFonts w:eastAsia="Times New Roman"/>
          <w:sz w:val="22"/>
        </w:rPr>
        <w:t xml:space="preserve">DEMO </w:t>
      </w:r>
      <w:r w:rsidR="0031147B">
        <w:rPr>
          <w:rFonts w:eastAsia="Times New Roman"/>
          <w:sz w:val="22"/>
        </w:rPr>
        <w:t>blanket design</w:t>
      </w:r>
      <w:r w:rsidR="003646F0">
        <w:rPr>
          <w:rFonts w:eastAsia="Times New Roman"/>
          <w:sz w:val="22"/>
        </w:rPr>
        <w:t xml:space="preserve">.  </w:t>
      </w:r>
      <w:r w:rsidR="0031147B">
        <w:rPr>
          <w:rFonts w:eastAsia="Times New Roman"/>
          <w:sz w:val="22"/>
        </w:rPr>
        <w:t>Pursuit of an actual next-step device and i</w:t>
      </w:r>
      <w:r w:rsidR="003646F0">
        <w:rPr>
          <w:rFonts w:eastAsia="Times New Roman"/>
          <w:sz w:val="22"/>
        </w:rPr>
        <w:t xml:space="preserve">nitiation of a robust tritium science program </w:t>
      </w:r>
      <w:r w:rsidR="006F2BF3">
        <w:rPr>
          <w:rFonts w:eastAsia="Times New Roman"/>
          <w:sz w:val="22"/>
        </w:rPr>
        <w:t xml:space="preserve">in the U.S. </w:t>
      </w:r>
      <w:r w:rsidR="003646F0">
        <w:rPr>
          <w:rFonts w:eastAsia="Times New Roman"/>
          <w:sz w:val="22"/>
        </w:rPr>
        <w:t>as proposed here would begin to rectify this.</w:t>
      </w:r>
    </w:p>
    <w:p w14:paraId="6FA98E7F" w14:textId="77777777" w:rsidR="006F0F0E" w:rsidRDefault="006F0F0E" w:rsidP="006F0F0E">
      <w:pPr>
        <w:pStyle w:val="ListParagraph"/>
        <w:widowControl w:val="0"/>
        <w:ind w:left="360" w:right="106"/>
        <w:jc w:val="both"/>
        <w:rPr>
          <w:rFonts w:eastAsia="Times New Roman"/>
          <w:b/>
          <w:sz w:val="22"/>
        </w:rPr>
      </w:pPr>
    </w:p>
    <w:p w14:paraId="56CC9293" w14:textId="77777777" w:rsidR="006F0F0E" w:rsidRDefault="00E728C9" w:rsidP="006F0F0E">
      <w:pPr>
        <w:pStyle w:val="ListParagraph"/>
        <w:widowControl w:val="0"/>
        <w:numPr>
          <w:ilvl w:val="0"/>
          <w:numId w:val="10"/>
        </w:numPr>
        <w:ind w:left="360" w:right="106"/>
        <w:jc w:val="both"/>
        <w:rPr>
          <w:rFonts w:eastAsia="Times New Roman"/>
          <w:b/>
          <w:sz w:val="22"/>
        </w:rPr>
      </w:pPr>
      <w:r w:rsidRPr="006F0F0E">
        <w:rPr>
          <w:rFonts w:eastAsia="Times New Roman"/>
          <w:b/>
          <w:sz w:val="22"/>
        </w:rPr>
        <w:t>Impact</w:t>
      </w:r>
      <w:r w:rsidR="006F0F0E">
        <w:rPr>
          <w:rFonts w:eastAsia="Times New Roman"/>
          <w:b/>
          <w:sz w:val="22"/>
        </w:rPr>
        <w:t xml:space="preserve"> on</w:t>
      </w:r>
      <w:r w:rsidR="005A0E91" w:rsidRPr="006F0F0E">
        <w:rPr>
          <w:rFonts w:eastAsia="Times New Roman"/>
          <w:b/>
          <w:sz w:val="22"/>
        </w:rPr>
        <w:t xml:space="preserve"> </w:t>
      </w:r>
      <w:r w:rsidRPr="006F0F0E">
        <w:rPr>
          <w:rFonts w:eastAsia="Times New Roman"/>
          <w:b/>
          <w:sz w:val="22"/>
        </w:rPr>
        <w:t xml:space="preserve">present and future </w:t>
      </w:r>
      <w:r w:rsidR="00002AF5" w:rsidRPr="006F0F0E">
        <w:rPr>
          <w:rFonts w:eastAsia="Times New Roman"/>
          <w:b/>
          <w:sz w:val="22"/>
        </w:rPr>
        <w:t>international activities</w:t>
      </w:r>
      <w:r w:rsidRPr="006F0F0E">
        <w:rPr>
          <w:rFonts w:eastAsia="Times New Roman"/>
          <w:b/>
          <w:sz w:val="22"/>
        </w:rPr>
        <w:t xml:space="preserve"> and collaborations by U.S. scientists</w:t>
      </w:r>
    </w:p>
    <w:p w14:paraId="011FF5BC" w14:textId="77777777" w:rsidR="006F0F0E" w:rsidRDefault="006F0F0E" w:rsidP="006F0F0E">
      <w:pPr>
        <w:pStyle w:val="ListParagraph"/>
        <w:widowControl w:val="0"/>
        <w:ind w:left="360" w:right="106"/>
        <w:jc w:val="both"/>
        <w:rPr>
          <w:rFonts w:eastAsia="Times New Roman"/>
          <w:b/>
          <w:sz w:val="22"/>
        </w:rPr>
      </w:pPr>
    </w:p>
    <w:p w14:paraId="4222E917" w14:textId="6B895573" w:rsidR="006F0F0E" w:rsidRPr="006F0F0E" w:rsidRDefault="00AC453E" w:rsidP="00182E11">
      <w:pPr>
        <w:widowControl w:val="0"/>
        <w:ind w:right="106" w:firstLine="360"/>
        <w:jc w:val="both"/>
        <w:rPr>
          <w:rFonts w:eastAsia="Times New Roman"/>
          <w:sz w:val="22"/>
        </w:rPr>
      </w:pPr>
      <w:r>
        <w:rPr>
          <w:rFonts w:eastAsia="Times New Roman"/>
          <w:sz w:val="22"/>
        </w:rPr>
        <w:t xml:space="preserve">Many of the activities that would be envisioned under such a program are particularly well suited to international collaborations.  </w:t>
      </w:r>
      <w:r w:rsidR="00FB3DE6">
        <w:rPr>
          <w:rFonts w:eastAsia="Times New Roman"/>
          <w:sz w:val="22"/>
        </w:rPr>
        <w:t>One of the fundamental problems outlined above is the uncertainty associated with fundamental tritium transport properties and the non-repeatability of experiments performed to measure these.  Resolution of such issues would be well served, for example, by international benchmark activities wherein each party performs measurements of standard materials in their own experimental facility.  Such collaborations would be valuable in identifying the underlying reasons for such discrepancies and in standardizing measurement procedures.</w:t>
      </w:r>
    </w:p>
    <w:p w14:paraId="5054EF3F" w14:textId="77777777" w:rsidR="006F0F0E" w:rsidRPr="006F0F0E" w:rsidRDefault="006F0F0E" w:rsidP="006F0F0E">
      <w:pPr>
        <w:pStyle w:val="ListParagraph"/>
        <w:widowControl w:val="0"/>
        <w:ind w:left="360" w:right="106"/>
        <w:jc w:val="both"/>
        <w:rPr>
          <w:rFonts w:eastAsia="Times New Roman"/>
          <w:b/>
          <w:sz w:val="22"/>
        </w:rPr>
      </w:pPr>
    </w:p>
    <w:p w14:paraId="656B2BA9" w14:textId="77777777" w:rsidR="006F0F0E" w:rsidRDefault="006F0F0E" w:rsidP="006F0F0E">
      <w:pPr>
        <w:widowControl w:val="0"/>
        <w:ind w:left="360" w:right="106" w:hanging="360"/>
        <w:contextualSpacing/>
        <w:jc w:val="both"/>
        <w:rPr>
          <w:rFonts w:eastAsia="Times New Roman"/>
          <w:b/>
          <w:sz w:val="22"/>
        </w:rPr>
      </w:pPr>
      <w:r>
        <w:rPr>
          <w:rFonts w:eastAsia="Times New Roman"/>
          <w:b/>
          <w:sz w:val="22"/>
        </w:rPr>
        <w:t>3.</w:t>
      </w:r>
      <w:r>
        <w:rPr>
          <w:rFonts w:eastAsia="Times New Roman"/>
          <w:b/>
          <w:sz w:val="22"/>
        </w:rPr>
        <w:tab/>
      </w:r>
      <w:r w:rsidR="00E728C9" w:rsidRPr="006F0F0E">
        <w:rPr>
          <w:rFonts w:eastAsia="Times New Roman"/>
          <w:b/>
          <w:sz w:val="22"/>
        </w:rPr>
        <w:t>I</w:t>
      </w:r>
      <w:r w:rsidR="005A0E91" w:rsidRPr="006F0F0E">
        <w:rPr>
          <w:rFonts w:eastAsia="Times New Roman"/>
          <w:b/>
          <w:sz w:val="22"/>
        </w:rPr>
        <w:t>mpact</w:t>
      </w:r>
      <w:r>
        <w:rPr>
          <w:rFonts w:eastAsia="Times New Roman"/>
          <w:b/>
          <w:sz w:val="22"/>
        </w:rPr>
        <w:t xml:space="preserve"> on the </w:t>
      </w:r>
      <w:r w:rsidR="00002AF5" w:rsidRPr="006F0F0E">
        <w:rPr>
          <w:rFonts w:eastAsia="Times New Roman"/>
          <w:b/>
          <w:sz w:val="22"/>
        </w:rPr>
        <w:t xml:space="preserve">health of domestic fusion research </w:t>
      </w:r>
      <w:r w:rsidR="00E728C9" w:rsidRPr="006F0F0E">
        <w:rPr>
          <w:rFonts w:eastAsia="Times New Roman"/>
          <w:b/>
          <w:sz w:val="22"/>
        </w:rPr>
        <w:t xml:space="preserve">at </w:t>
      </w:r>
      <w:r w:rsidR="00002AF5" w:rsidRPr="006F0F0E">
        <w:rPr>
          <w:rFonts w:eastAsia="Times New Roman"/>
          <w:b/>
          <w:sz w:val="22"/>
        </w:rPr>
        <w:t>universities, national labs, and industry</w:t>
      </w:r>
      <w:r w:rsidR="005A0E91" w:rsidRPr="006F0F0E">
        <w:rPr>
          <w:rFonts w:eastAsia="Times New Roman"/>
          <w:b/>
          <w:sz w:val="22"/>
        </w:rPr>
        <w:t xml:space="preserve"> </w:t>
      </w:r>
    </w:p>
    <w:p w14:paraId="5B76E230" w14:textId="77777777" w:rsidR="006F0F0E" w:rsidRDefault="006F0F0E" w:rsidP="006F0F0E">
      <w:pPr>
        <w:widowControl w:val="0"/>
        <w:ind w:right="106"/>
        <w:jc w:val="both"/>
        <w:rPr>
          <w:rFonts w:eastAsia="Times New Roman"/>
          <w:sz w:val="22"/>
        </w:rPr>
      </w:pPr>
    </w:p>
    <w:p w14:paraId="7AD02593" w14:textId="1F32A34E" w:rsidR="006F0F0E" w:rsidRPr="006F0F0E" w:rsidRDefault="00735EED" w:rsidP="00182E11">
      <w:pPr>
        <w:widowControl w:val="0"/>
        <w:ind w:right="106" w:firstLine="360"/>
        <w:jc w:val="both"/>
        <w:rPr>
          <w:rFonts w:eastAsia="Times New Roman"/>
          <w:sz w:val="22"/>
        </w:rPr>
      </w:pPr>
      <w:r>
        <w:rPr>
          <w:rFonts w:eastAsia="Times New Roman"/>
          <w:sz w:val="22"/>
        </w:rPr>
        <w:t xml:space="preserve">We noted above the comparatively low level of U.S. participation in this area of research, and a more robust program can only improve this, at both national laboratories and universities.  This is not presently an area in which industry participates significantly, but a program supporting experiments that progress toward components and prototypes should increase industry participation in their construction.  </w:t>
      </w:r>
    </w:p>
    <w:p w14:paraId="1E3E65F3" w14:textId="77777777" w:rsidR="006F0F0E" w:rsidRDefault="006F0F0E" w:rsidP="006F0F0E">
      <w:pPr>
        <w:widowControl w:val="0"/>
        <w:ind w:left="360" w:right="106" w:hanging="360"/>
        <w:contextualSpacing/>
        <w:jc w:val="both"/>
        <w:rPr>
          <w:rFonts w:eastAsia="Times New Roman"/>
          <w:b/>
          <w:sz w:val="22"/>
        </w:rPr>
      </w:pPr>
    </w:p>
    <w:p w14:paraId="5AD9E455" w14:textId="77777777" w:rsidR="005A0E91" w:rsidRPr="006F0F0E" w:rsidRDefault="006F0F0E" w:rsidP="006F0F0E">
      <w:pPr>
        <w:widowControl w:val="0"/>
        <w:ind w:left="360" w:right="106" w:hanging="360"/>
        <w:contextualSpacing/>
        <w:jc w:val="both"/>
        <w:rPr>
          <w:rFonts w:eastAsia="Times New Roman"/>
          <w:b/>
          <w:sz w:val="22"/>
        </w:rPr>
      </w:pPr>
      <w:r>
        <w:rPr>
          <w:rFonts w:eastAsia="Times New Roman"/>
          <w:b/>
          <w:sz w:val="22"/>
        </w:rPr>
        <w:t>4.</w:t>
      </w:r>
      <w:r>
        <w:rPr>
          <w:rFonts w:eastAsia="Times New Roman"/>
          <w:b/>
          <w:sz w:val="22"/>
        </w:rPr>
        <w:tab/>
        <w:t>I</w:t>
      </w:r>
      <w:r w:rsidR="005A0E91" w:rsidRPr="006F0F0E">
        <w:rPr>
          <w:rFonts w:eastAsia="Times New Roman"/>
          <w:b/>
          <w:sz w:val="22"/>
        </w:rPr>
        <w:t>mpact</w:t>
      </w:r>
      <w:r>
        <w:rPr>
          <w:rFonts w:eastAsia="Times New Roman"/>
          <w:b/>
          <w:sz w:val="22"/>
        </w:rPr>
        <w:t xml:space="preserve"> </w:t>
      </w:r>
      <w:r w:rsidR="00771595">
        <w:rPr>
          <w:rFonts w:eastAsia="Times New Roman"/>
          <w:b/>
          <w:sz w:val="22"/>
        </w:rPr>
        <w:t>of/from</w:t>
      </w:r>
      <w:r w:rsidR="005A0E91" w:rsidRPr="006F0F0E">
        <w:rPr>
          <w:rFonts w:eastAsia="Times New Roman"/>
          <w:b/>
          <w:sz w:val="22"/>
        </w:rPr>
        <w:t xml:space="preserve"> </w:t>
      </w:r>
      <w:r w:rsidR="00002AF5" w:rsidRPr="006F0F0E">
        <w:rPr>
          <w:rFonts w:eastAsia="Times New Roman"/>
          <w:b/>
          <w:sz w:val="22"/>
        </w:rPr>
        <w:t>unanticipated events</w:t>
      </w:r>
      <w:r w:rsidR="005A0E91" w:rsidRPr="006F0F0E">
        <w:rPr>
          <w:rFonts w:eastAsia="Times New Roman"/>
          <w:b/>
          <w:sz w:val="22"/>
        </w:rPr>
        <w:t xml:space="preserve"> or innovations</w:t>
      </w:r>
      <w:bookmarkStart w:id="1" w:name="_erpmzuw5ijx8" w:colFirst="0" w:colLast="0"/>
      <w:bookmarkEnd w:id="1"/>
      <w:r w:rsidR="005A0E91" w:rsidRPr="006F0F0E">
        <w:rPr>
          <w:rFonts w:eastAsia="Times New Roman"/>
          <w:b/>
          <w:sz w:val="22"/>
        </w:rPr>
        <w:t xml:space="preserve"> requiring </w:t>
      </w:r>
      <w:r w:rsidR="00771595">
        <w:rPr>
          <w:rFonts w:eastAsia="Times New Roman"/>
          <w:b/>
          <w:sz w:val="22"/>
        </w:rPr>
        <w:t xml:space="preserve">programmatic </w:t>
      </w:r>
      <w:r w:rsidR="005A0E91" w:rsidRPr="006F0F0E">
        <w:rPr>
          <w:rFonts w:eastAsia="Times New Roman"/>
          <w:b/>
          <w:sz w:val="22"/>
        </w:rPr>
        <w:t>re-direction</w:t>
      </w:r>
    </w:p>
    <w:p w14:paraId="74196E89" w14:textId="77777777" w:rsidR="006F0F0E" w:rsidRDefault="006F0F0E" w:rsidP="006F0F0E">
      <w:pPr>
        <w:widowControl w:val="0"/>
        <w:ind w:right="106"/>
        <w:jc w:val="both"/>
        <w:rPr>
          <w:rFonts w:eastAsia="Times New Roman"/>
          <w:sz w:val="22"/>
        </w:rPr>
      </w:pPr>
    </w:p>
    <w:p w14:paraId="0EB27FEC" w14:textId="77777777" w:rsidR="006F0F0E" w:rsidRPr="00E1377D" w:rsidRDefault="006F2BF3" w:rsidP="00182E11">
      <w:pPr>
        <w:widowControl w:val="0"/>
        <w:ind w:right="106" w:firstLine="360"/>
        <w:jc w:val="both"/>
        <w:rPr>
          <w:rFonts w:eastAsia="Times New Roman"/>
          <w:sz w:val="22"/>
        </w:rPr>
      </w:pPr>
      <w:r w:rsidRPr="00E1377D">
        <w:rPr>
          <w:rFonts w:eastAsia="Times New Roman"/>
          <w:sz w:val="22"/>
        </w:rPr>
        <w:t>Some of the ideas discussed here (e.g. for tritium extraction systems)</w:t>
      </w:r>
      <w:r w:rsidR="008B2612" w:rsidRPr="00E1377D">
        <w:rPr>
          <w:rFonts w:eastAsia="Times New Roman"/>
          <w:sz w:val="22"/>
        </w:rPr>
        <w:t xml:space="preserve"> </w:t>
      </w:r>
      <w:r w:rsidRPr="00E1377D">
        <w:rPr>
          <w:rFonts w:eastAsia="Times New Roman"/>
          <w:sz w:val="22"/>
        </w:rPr>
        <w:t xml:space="preserve">are not new, but their successful realization would change the fusion landscape. The purpose of the recommended program is </w:t>
      </w:r>
      <w:r w:rsidR="008B2612" w:rsidRPr="00E1377D">
        <w:rPr>
          <w:rFonts w:eastAsia="Times New Roman"/>
          <w:sz w:val="22"/>
        </w:rPr>
        <w:t xml:space="preserve">to </w:t>
      </w:r>
      <w:r w:rsidR="008B2612" w:rsidRPr="00E1377D">
        <w:rPr>
          <w:rFonts w:eastAsia="Times New Roman"/>
          <w:i/>
          <w:sz w:val="22"/>
        </w:rPr>
        <w:t>drive</w:t>
      </w:r>
      <w:r w:rsidR="008B2612" w:rsidRPr="00E1377D">
        <w:rPr>
          <w:rFonts w:eastAsia="Times New Roman"/>
          <w:sz w:val="22"/>
        </w:rPr>
        <w:t xml:space="preserve"> </w:t>
      </w:r>
      <w:r w:rsidRPr="00E1377D">
        <w:rPr>
          <w:rFonts w:eastAsia="Times New Roman"/>
          <w:sz w:val="22"/>
        </w:rPr>
        <w:t>these and other such innovations in the area of tritium science.</w:t>
      </w:r>
    </w:p>
    <w:p w14:paraId="70E247D7" w14:textId="77777777" w:rsidR="009107AF" w:rsidRDefault="009107AF" w:rsidP="006F0F0E">
      <w:pPr>
        <w:widowControl w:val="0"/>
        <w:ind w:right="106"/>
        <w:jc w:val="both"/>
        <w:rPr>
          <w:rFonts w:eastAsia="Times New Roman"/>
          <w:sz w:val="22"/>
        </w:rPr>
      </w:pPr>
    </w:p>
    <w:p w14:paraId="33EAEB68" w14:textId="77777777" w:rsidR="00755C73" w:rsidRPr="005A0E91" w:rsidRDefault="00755C73" w:rsidP="00755C73">
      <w:pPr>
        <w:jc w:val="both"/>
        <w:rPr>
          <w:b/>
          <w:sz w:val="22"/>
        </w:rPr>
      </w:pPr>
      <w:r>
        <w:rPr>
          <w:b/>
          <w:sz w:val="22"/>
        </w:rPr>
        <w:t>Additional Considerations:</w:t>
      </w:r>
    </w:p>
    <w:p w14:paraId="5655C8A0" w14:textId="77777777" w:rsidR="00755C73" w:rsidRPr="005A0E91" w:rsidRDefault="00755C73" w:rsidP="00755C73">
      <w:pPr>
        <w:jc w:val="both"/>
        <w:rPr>
          <w:sz w:val="22"/>
        </w:rPr>
      </w:pPr>
    </w:p>
    <w:p w14:paraId="33FE85C8" w14:textId="7DBFE60A" w:rsidR="008F075B" w:rsidRPr="00646CFD" w:rsidRDefault="00E16271" w:rsidP="00182E11">
      <w:pPr>
        <w:ind w:firstLine="360"/>
        <w:jc w:val="both"/>
        <w:rPr>
          <w:sz w:val="22"/>
        </w:rPr>
      </w:pPr>
      <w:r>
        <w:rPr>
          <w:sz w:val="22"/>
        </w:rPr>
        <w:t xml:space="preserve">Two final points should be emphasized.  The first is that the proposed research </w:t>
      </w:r>
      <w:r w:rsidR="008A364E">
        <w:rPr>
          <w:sz w:val="22"/>
        </w:rPr>
        <w:t>is</w:t>
      </w:r>
      <w:r>
        <w:rPr>
          <w:sz w:val="22"/>
        </w:rPr>
        <w:t xml:space="preserve"> necessary regardless of whether U.S. fusion research has an explicit energy mission, or is focused solely on burning plasma science; </w:t>
      </w:r>
      <w:r w:rsidR="00C4581B">
        <w:rPr>
          <w:sz w:val="22"/>
        </w:rPr>
        <w:t>a burning plasma is fueled by tritium, and its continued operation will depend on breeding and managing tritium</w:t>
      </w:r>
      <w:r>
        <w:rPr>
          <w:sz w:val="22"/>
        </w:rPr>
        <w:t xml:space="preserve">.  Secondly, the committee has been charged with evaluating scenarios in which the U.S. either is, or is not, a member of ITER; while much tritium science will certainly be learned in ITER, </w:t>
      </w:r>
      <w:r w:rsidR="00C4581B">
        <w:rPr>
          <w:sz w:val="22"/>
        </w:rPr>
        <w:t>its primary purpose is not blanket or tritium science; it will operate at lower temperatures and at a much lower duty factor than future devic</w:t>
      </w:r>
      <w:r w:rsidR="00C4177F">
        <w:rPr>
          <w:sz w:val="22"/>
        </w:rPr>
        <w:t xml:space="preserve">es, and does not breed tritium except in the TBMs.  The proposed R&amp;D program is therefore equally necessary regardless of </w:t>
      </w:r>
      <w:r w:rsidR="00E1377D">
        <w:rPr>
          <w:sz w:val="22"/>
        </w:rPr>
        <w:t xml:space="preserve">future </w:t>
      </w:r>
      <w:r w:rsidR="00C4177F">
        <w:rPr>
          <w:sz w:val="22"/>
        </w:rPr>
        <w:t>U</w:t>
      </w:r>
      <w:r w:rsidR="00E1377D">
        <w:rPr>
          <w:sz w:val="22"/>
        </w:rPr>
        <w:t>.</w:t>
      </w:r>
      <w:r w:rsidR="00C4177F">
        <w:rPr>
          <w:sz w:val="22"/>
        </w:rPr>
        <w:t>S</w:t>
      </w:r>
      <w:r w:rsidR="00E1377D">
        <w:rPr>
          <w:sz w:val="22"/>
        </w:rPr>
        <w:t>.</w:t>
      </w:r>
      <w:r w:rsidR="00C4177F">
        <w:rPr>
          <w:sz w:val="22"/>
        </w:rPr>
        <w:t xml:space="preserve"> participation in ITER.</w:t>
      </w:r>
    </w:p>
    <w:sectPr w:rsidR="008F075B" w:rsidRPr="00646CFD" w:rsidSect="004F3173">
      <w:headerReference w:type="default" r:id="rId9"/>
      <w:endnotePr>
        <w:numFmt w:val="decimal"/>
      </w:endnotePr>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4596A" w14:textId="77777777" w:rsidR="008A364E" w:rsidRDefault="008A364E" w:rsidP="000F3608">
      <w:r>
        <w:separator/>
      </w:r>
    </w:p>
  </w:endnote>
  <w:endnote w:type="continuationSeparator" w:id="0">
    <w:p w14:paraId="1999EE78" w14:textId="77777777" w:rsidR="008A364E" w:rsidRDefault="008A364E" w:rsidP="000F3608">
      <w:r>
        <w:continuationSeparator/>
      </w:r>
    </w:p>
  </w:endnote>
  <w:endnote w:id="1">
    <w:p w14:paraId="633C1170" w14:textId="77777777" w:rsidR="008A364E" w:rsidRPr="00964D94" w:rsidRDefault="008A364E" w:rsidP="004161B9">
      <w:pPr>
        <w:pStyle w:val="EndnoteText"/>
        <w:ind w:left="360" w:hanging="360"/>
      </w:pPr>
      <w:r>
        <w:t>[</w:t>
      </w:r>
      <w:r w:rsidRPr="00C137D8">
        <w:rPr>
          <w:rStyle w:val="EndnoteReference"/>
          <w:vertAlign w:val="baseline"/>
        </w:rPr>
        <w:endnoteRef/>
      </w:r>
      <w:r w:rsidRPr="00C137D8">
        <w:t>]</w:t>
      </w:r>
      <w:r>
        <w:t xml:space="preserve"> </w:t>
      </w:r>
      <w:r>
        <w:tab/>
        <w:t xml:space="preserve">P. W. Humrickhouse and B. J. Merrill, “Tritium aspects of the Fusion Nuclear Science Facility,” </w:t>
      </w:r>
      <w:r w:rsidRPr="00B17F0D">
        <w:rPr>
          <w:i/>
        </w:rPr>
        <w:t xml:space="preserve">Fusion </w:t>
      </w:r>
      <w:r w:rsidRPr="00964D94">
        <w:rPr>
          <w:i/>
        </w:rPr>
        <w:t>Engineering and Design</w:t>
      </w:r>
      <w:r w:rsidRPr="00964D94">
        <w:t xml:space="preserve"> (2017), doi:10.1016/j.fusengdes.2017.04.099.</w:t>
      </w:r>
    </w:p>
  </w:endnote>
  <w:endnote w:id="2">
    <w:p w14:paraId="1275D3F3" w14:textId="77777777" w:rsidR="008A364E" w:rsidRPr="00964D94" w:rsidRDefault="008A364E" w:rsidP="00964D94">
      <w:pPr>
        <w:pStyle w:val="EndnoteText"/>
        <w:ind w:left="360" w:hanging="360"/>
      </w:pPr>
      <w:r w:rsidRPr="00964D94">
        <w:t>[</w:t>
      </w:r>
      <w:r w:rsidRPr="00964D94">
        <w:rPr>
          <w:rStyle w:val="EndnoteReference"/>
          <w:vertAlign w:val="baseline"/>
        </w:rPr>
        <w:endnoteRef/>
      </w:r>
      <w:r w:rsidRPr="00964D94">
        <w:t xml:space="preserve">] </w:t>
      </w:r>
      <w:r w:rsidRPr="00964D94">
        <w:tab/>
        <w:t>M. Shimada, G. Cao, T. Otsuka, M. Hara, M. Kobayashi, Y. Oya and Y. Hatano,</w:t>
      </w:r>
      <w:r>
        <w:t xml:space="preserve"> </w:t>
      </w:r>
      <w:r w:rsidRPr="00964D94">
        <w:t>“Irradiation effect on deuterium behavior in low dose HFIR neutron-irradiated tungsten</w:t>
      </w:r>
      <w:r>
        <w:t xml:space="preserve">,” </w:t>
      </w:r>
      <w:r w:rsidRPr="00964D94">
        <w:rPr>
          <w:i/>
        </w:rPr>
        <w:t>Nuclear Fusion</w:t>
      </w:r>
      <w:r w:rsidRPr="00964D94">
        <w:t xml:space="preserve"> </w:t>
      </w:r>
      <w:r w:rsidRPr="00964D94">
        <w:rPr>
          <w:b/>
        </w:rPr>
        <w:t>55</w:t>
      </w:r>
      <w:r w:rsidRPr="00964D94">
        <w:t xml:space="preserve"> (2015) 013008</w:t>
      </w:r>
      <w:r>
        <w:t>.</w:t>
      </w:r>
    </w:p>
  </w:endnote>
  <w:endnote w:id="3">
    <w:p w14:paraId="4D50D816" w14:textId="77777777" w:rsidR="008A364E" w:rsidRPr="00EF4D09" w:rsidRDefault="008A364E" w:rsidP="00EF4D09">
      <w:pPr>
        <w:pStyle w:val="EndnoteText"/>
        <w:ind w:left="360" w:hanging="360"/>
      </w:pPr>
      <w:r w:rsidRPr="00964D94">
        <w:t>[</w:t>
      </w:r>
      <w:r w:rsidRPr="00964D94">
        <w:rPr>
          <w:rStyle w:val="EndnoteReference"/>
          <w:vertAlign w:val="baseline"/>
        </w:rPr>
        <w:endnoteRef/>
      </w:r>
      <w:r w:rsidRPr="00964D94">
        <w:t xml:space="preserve">] </w:t>
      </w:r>
      <w:r w:rsidRPr="00964D94">
        <w:tab/>
        <w:t>N. Alpy, T. Dufrenoy, and A. Terlain, “Hydrogen extraction from Pb–17Li: results with 800 mm high packed</w:t>
      </w:r>
      <w:r w:rsidRPr="00B17F0D">
        <w:t xml:space="preserve"> column</w:t>
      </w:r>
      <w:r>
        <w:t xml:space="preserve">,” </w:t>
      </w:r>
      <w:r w:rsidRPr="00B17F0D">
        <w:rPr>
          <w:i/>
        </w:rPr>
        <w:t>Fusion Engineering and Design</w:t>
      </w:r>
      <w:r w:rsidRPr="00B17F0D">
        <w:t xml:space="preserve"> </w:t>
      </w:r>
      <w:r>
        <w:rPr>
          <w:b/>
        </w:rPr>
        <w:t>4</w:t>
      </w:r>
      <w:r w:rsidRPr="00B17F0D">
        <w:rPr>
          <w:b/>
        </w:rPr>
        <w:t>9–</w:t>
      </w:r>
      <w:r>
        <w:rPr>
          <w:b/>
        </w:rPr>
        <w:t>5</w:t>
      </w:r>
      <w:r w:rsidRPr="00B17F0D">
        <w:rPr>
          <w:b/>
        </w:rPr>
        <w:t>0</w:t>
      </w:r>
      <w:r w:rsidRPr="00B17F0D">
        <w:t xml:space="preserve"> (</w:t>
      </w:r>
      <w:r>
        <w:t>2000</w:t>
      </w:r>
      <w:r w:rsidRPr="00B17F0D">
        <w:t>)</w:t>
      </w:r>
      <w:r>
        <w:t xml:space="preserve"> </w:t>
      </w:r>
      <w:r w:rsidRPr="00B17F0D">
        <w:t>775-780</w:t>
      </w:r>
      <w:r>
        <w:t>.</w:t>
      </w:r>
    </w:p>
  </w:endnote>
  <w:endnote w:id="4">
    <w:p w14:paraId="317E906C" w14:textId="77777777" w:rsidR="008A364E" w:rsidRPr="00EF4D09" w:rsidRDefault="008A364E" w:rsidP="00EF4D09">
      <w:pPr>
        <w:pStyle w:val="EndnoteText"/>
        <w:ind w:left="360" w:hanging="360"/>
      </w:pPr>
      <w:r>
        <w:t>[</w:t>
      </w:r>
      <w:r w:rsidRPr="00EF4D09">
        <w:rPr>
          <w:rStyle w:val="EndnoteReference"/>
          <w:vertAlign w:val="baseline"/>
        </w:rPr>
        <w:endnoteRef/>
      </w:r>
      <w:r>
        <w:t>]</w:t>
      </w:r>
      <w:r w:rsidRPr="00EF4D09">
        <w:t xml:space="preserve"> </w:t>
      </w:r>
      <w:r>
        <w:tab/>
        <w:t>F. Okino, K. Noborio, Y. Yamamoto, and S. Konishi, “</w:t>
      </w:r>
      <w:r w:rsidRPr="00501D28">
        <w:t>Vacuum sieve tray for tritium extraction from liquid Pb–17Li</w:t>
      </w:r>
      <w:r>
        <w:t xml:space="preserve">,” </w:t>
      </w:r>
      <w:r w:rsidRPr="005F12B0">
        <w:rPr>
          <w:i/>
        </w:rPr>
        <w:t>Fusion Engineering and Design</w:t>
      </w:r>
      <w:r>
        <w:t xml:space="preserve"> </w:t>
      </w:r>
      <w:r w:rsidRPr="005F12B0">
        <w:rPr>
          <w:b/>
        </w:rPr>
        <w:t>87</w:t>
      </w:r>
      <w:r>
        <w:t xml:space="preserve"> (2012) 1014-1018.</w:t>
      </w:r>
    </w:p>
  </w:endnote>
  <w:endnote w:id="5">
    <w:p w14:paraId="5F773D33" w14:textId="77777777" w:rsidR="008A364E" w:rsidRDefault="008A364E" w:rsidP="00EF4D09">
      <w:pPr>
        <w:pStyle w:val="EndnoteText"/>
        <w:ind w:left="360" w:hanging="360"/>
      </w:pPr>
      <w:r>
        <w:t>[</w:t>
      </w:r>
      <w:r w:rsidRPr="00EF4D09">
        <w:rPr>
          <w:rStyle w:val="EndnoteReference"/>
          <w:vertAlign w:val="baseline"/>
        </w:rPr>
        <w:endnoteRef/>
      </w:r>
      <w:r>
        <w:t>]</w:t>
      </w:r>
      <w:r w:rsidRPr="00EF4D09">
        <w:t xml:space="preserve"> </w:t>
      </w:r>
      <w:r>
        <w:tab/>
        <w:t xml:space="preserve">P. W. Humrickhouse and B. J. Merrill, “Vacuum permeator analysis for extraction of tritium from DCLL blankets,” </w:t>
      </w:r>
      <w:r w:rsidRPr="00EF4D09">
        <w:rPr>
          <w:i/>
        </w:rPr>
        <w:t>Fusion Science and Technology</w:t>
      </w:r>
      <w:r>
        <w:t xml:space="preserve"> </w:t>
      </w:r>
      <w:r w:rsidRPr="00EF4D09">
        <w:rPr>
          <w:b/>
        </w:rPr>
        <w:t>68</w:t>
      </w:r>
      <w:r>
        <w:t xml:space="preserve"> (2015) 295-302.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F1376" w14:textId="77777777" w:rsidR="008A364E" w:rsidRDefault="008A364E" w:rsidP="000F3608">
      <w:r>
        <w:separator/>
      </w:r>
    </w:p>
  </w:footnote>
  <w:footnote w:type="continuationSeparator" w:id="0">
    <w:p w14:paraId="1BA0A9FD" w14:textId="77777777" w:rsidR="008A364E" w:rsidRDefault="008A364E" w:rsidP="000F36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C4284" w14:textId="2DEEA3F0" w:rsidR="008A364E" w:rsidRPr="0021481B" w:rsidRDefault="008A364E" w:rsidP="00BF58BB">
    <w:pPr>
      <w:jc w:val="center"/>
      <w:rPr>
        <w:rFonts w:eastAsia="Times New Roman"/>
        <w:color w:val="0000FF" w:themeColor="hyperlink"/>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69ED"/>
    <w:multiLevelType w:val="hybridMultilevel"/>
    <w:tmpl w:val="298E9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021DB"/>
    <w:multiLevelType w:val="hybridMultilevel"/>
    <w:tmpl w:val="006ED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F60C9"/>
    <w:multiLevelType w:val="hybridMultilevel"/>
    <w:tmpl w:val="710691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C642A"/>
    <w:multiLevelType w:val="hybridMultilevel"/>
    <w:tmpl w:val="B60447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C0462"/>
    <w:multiLevelType w:val="hybridMultilevel"/>
    <w:tmpl w:val="97DC4F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2C0DB1"/>
    <w:multiLevelType w:val="hybridMultilevel"/>
    <w:tmpl w:val="EA1017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A6EA5"/>
    <w:multiLevelType w:val="multilevel"/>
    <w:tmpl w:val="ED464A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3EA5E29"/>
    <w:multiLevelType w:val="hybridMultilevel"/>
    <w:tmpl w:val="5512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91C54"/>
    <w:multiLevelType w:val="hybridMultilevel"/>
    <w:tmpl w:val="F58A6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183736"/>
    <w:multiLevelType w:val="hybridMultilevel"/>
    <w:tmpl w:val="740A1E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
  </w:num>
  <w:num w:numId="3">
    <w:abstractNumId w:val="5"/>
  </w:num>
  <w:num w:numId="4">
    <w:abstractNumId w:val="1"/>
  </w:num>
  <w:num w:numId="5">
    <w:abstractNumId w:val="4"/>
  </w:num>
  <w:num w:numId="6">
    <w:abstractNumId w:val="3"/>
  </w:num>
  <w:num w:numId="7">
    <w:abstractNumId w:val="6"/>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F5"/>
    <w:rsid w:val="00002AF5"/>
    <w:rsid w:val="00021ABA"/>
    <w:rsid w:val="00031A1F"/>
    <w:rsid w:val="00067FE3"/>
    <w:rsid w:val="000761D6"/>
    <w:rsid w:val="000D40CE"/>
    <w:rsid w:val="000D54A9"/>
    <w:rsid w:val="000F3608"/>
    <w:rsid w:val="0013373C"/>
    <w:rsid w:val="001412BD"/>
    <w:rsid w:val="00141D3D"/>
    <w:rsid w:val="00157A2B"/>
    <w:rsid w:val="001759A0"/>
    <w:rsid w:val="00182E11"/>
    <w:rsid w:val="001A3684"/>
    <w:rsid w:val="001E0A91"/>
    <w:rsid w:val="001E108A"/>
    <w:rsid w:val="0021481B"/>
    <w:rsid w:val="00267D22"/>
    <w:rsid w:val="00295CB0"/>
    <w:rsid w:val="0029735F"/>
    <w:rsid w:val="002E48E7"/>
    <w:rsid w:val="002E7E8D"/>
    <w:rsid w:val="002F4341"/>
    <w:rsid w:val="002F45D9"/>
    <w:rsid w:val="0031147B"/>
    <w:rsid w:val="003646F0"/>
    <w:rsid w:val="00390D05"/>
    <w:rsid w:val="003A2D87"/>
    <w:rsid w:val="003B5599"/>
    <w:rsid w:val="003F24D5"/>
    <w:rsid w:val="004161B9"/>
    <w:rsid w:val="004544E5"/>
    <w:rsid w:val="004921C2"/>
    <w:rsid w:val="004E4FE1"/>
    <w:rsid w:val="004F3173"/>
    <w:rsid w:val="00501D28"/>
    <w:rsid w:val="00580A80"/>
    <w:rsid w:val="005A0E91"/>
    <w:rsid w:val="005F12B0"/>
    <w:rsid w:val="00612A84"/>
    <w:rsid w:val="00646CFD"/>
    <w:rsid w:val="006B65BE"/>
    <w:rsid w:val="006D39D3"/>
    <w:rsid w:val="006E06D8"/>
    <w:rsid w:val="006F0F0E"/>
    <w:rsid w:val="006F2BF3"/>
    <w:rsid w:val="007212D7"/>
    <w:rsid w:val="00735EED"/>
    <w:rsid w:val="00744D3A"/>
    <w:rsid w:val="00755C73"/>
    <w:rsid w:val="00771595"/>
    <w:rsid w:val="007A77A5"/>
    <w:rsid w:val="007E2914"/>
    <w:rsid w:val="007E7C4F"/>
    <w:rsid w:val="00805EA4"/>
    <w:rsid w:val="0081402F"/>
    <w:rsid w:val="00875373"/>
    <w:rsid w:val="008A2CA2"/>
    <w:rsid w:val="008A364E"/>
    <w:rsid w:val="008B2612"/>
    <w:rsid w:val="008F075B"/>
    <w:rsid w:val="008F21D1"/>
    <w:rsid w:val="00904A3F"/>
    <w:rsid w:val="009107AF"/>
    <w:rsid w:val="00941999"/>
    <w:rsid w:val="00951CD7"/>
    <w:rsid w:val="00964D94"/>
    <w:rsid w:val="00974C7D"/>
    <w:rsid w:val="009859F6"/>
    <w:rsid w:val="00A12AA3"/>
    <w:rsid w:val="00A43803"/>
    <w:rsid w:val="00A6000E"/>
    <w:rsid w:val="00A71003"/>
    <w:rsid w:val="00AC453E"/>
    <w:rsid w:val="00AE0DFA"/>
    <w:rsid w:val="00B17F0D"/>
    <w:rsid w:val="00B66403"/>
    <w:rsid w:val="00BE174D"/>
    <w:rsid w:val="00BF1D1C"/>
    <w:rsid w:val="00BF58BB"/>
    <w:rsid w:val="00C137D8"/>
    <w:rsid w:val="00C4177F"/>
    <w:rsid w:val="00C4581B"/>
    <w:rsid w:val="00C56299"/>
    <w:rsid w:val="00C62E11"/>
    <w:rsid w:val="00C6489F"/>
    <w:rsid w:val="00CC212E"/>
    <w:rsid w:val="00CE3DF0"/>
    <w:rsid w:val="00D76E75"/>
    <w:rsid w:val="00DE3F1D"/>
    <w:rsid w:val="00DF4B0B"/>
    <w:rsid w:val="00E1377D"/>
    <w:rsid w:val="00E16271"/>
    <w:rsid w:val="00E6400B"/>
    <w:rsid w:val="00E728C9"/>
    <w:rsid w:val="00EF4D09"/>
    <w:rsid w:val="00F03F58"/>
    <w:rsid w:val="00F453AA"/>
    <w:rsid w:val="00F75E19"/>
    <w:rsid w:val="00F8135F"/>
    <w:rsid w:val="00FB3DE6"/>
    <w:rsid w:val="00FB7DD1"/>
    <w:rsid w:val="00FD0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F5"/>
    <w:pPr>
      <w:ind w:left="720"/>
      <w:contextualSpacing/>
    </w:pPr>
  </w:style>
  <w:style w:type="paragraph" w:styleId="Header">
    <w:name w:val="header"/>
    <w:basedOn w:val="Normal"/>
    <w:link w:val="HeaderChar"/>
    <w:uiPriority w:val="99"/>
    <w:unhideWhenUsed/>
    <w:rsid w:val="000F3608"/>
    <w:pPr>
      <w:tabs>
        <w:tab w:val="center" w:pos="4680"/>
        <w:tab w:val="right" w:pos="9360"/>
      </w:tabs>
    </w:pPr>
  </w:style>
  <w:style w:type="character" w:customStyle="1" w:styleId="HeaderChar">
    <w:name w:val="Header Char"/>
    <w:basedOn w:val="DefaultParagraphFont"/>
    <w:link w:val="Header"/>
    <w:uiPriority w:val="99"/>
    <w:rsid w:val="000F3608"/>
    <w:rPr>
      <w:rFonts w:ascii="Times New Roman" w:hAnsi="Times New Roman" w:cs="Times New Roman"/>
      <w:sz w:val="24"/>
      <w:szCs w:val="24"/>
    </w:rPr>
  </w:style>
  <w:style w:type="paragraph" w:styleId="Footer">
    <w:name w:val="footer"/>
    <w:basedOn w:val="Normal"/>
    <w:link w:val="FooterChar"/>
    <w:uiPriority w:val="99"/>
    <w:unhideWhenUsed/>
    <w:rsid w:val="000F3608"/>
    <w:pPr>
      <w:tabs>
        <w:tab w:val="center" w:pos="4680"/>
        <w:tab w:val="right" w:pos="9360"/>
      </w:tabs>
    </w:pPr>
  </w:style>
  <w:style w:type="character" w:customStyle="1" w:styleId="FooterChar">
    <w:name w:val="Footer Char"/>
    <w:basedOn w:val="DefaultParagraphFont"/>
    <w:link w:val="Footer"/>
    <w:uiPriority w:val="99"/>
    <w:rsid w:val="000F3608"/>
    <w:rPr>
      <w:rFonts w:ascii="Times New Roman" w:hAnsi="Times New Roman" w:cs="Times New Roman"/>
      <w:sz w:val="24"/>
      <w:szCs w:val="24"/>
    </w:rPr>
  </w:style>
  <w:style w:type="character" w:styleId="Hyperlink">
    <w:name w:val="Hyperlink"/>
    <w:basedOn w:val="DefaultParagraphFont"/>
    <w:uiPriority w:val="99"/>
    <w:unhideWhenUsed/>
    <w:rsid w:val="004F3173"/>
    <w:rPr>
      <w:color w:val="0000FF" w:themeColor="hyperlink"/>
      <w:u w:val="single"/>
    </w:rPr>
  </w:style>
  <w:style w:type="paragraph" w:styleId="EndnoteText">
    <w:name w:val="endnote text"/>
    <w:basedOn w:val="Normal"/>
    <w:link w:val="EndnoteTextChar"/>
    <w:uiPriority w:val="99"/>
    <w:semiHidden/>
    <w:unhideWhenUsed/>
    <w:rsid w:val="003B5599"/>
    <w:rPr>
      <w:sz w:val="20"/>
      <w:szCs w:val="20"/>
    </w:rPr>
  </w:style>
  <w:style w:type="character" w:customStyle="1" w:styleId="EndnoteTextChar">
    <w:name w:val="Endnote Text Char"/>
    <w:basedOn w:val="DefaultParagraphFont"/>
    <w:link w:val="EndnoteText"/>
    <w:uiPriority w:val="99"/>
    <w:semiHidden/>
    <w:rsid w:val="003B559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B5599"/>
    <w:rPr>
      <w:vertAlign w:val="superscript"/>
    </w:rPr>
  </w:style>
  <w:style w:type="paragraph" w:styleId="BalloonText">
    <w:name w:val="Balloon Text"/>
    <w:basedOn w:val="Normal"/>
    <w:link w:val="BalloonTextChar"/>
    <w:uiPriority w:val="99"/>
    <w:semiHidden/>
    <w:unhideWhenUsed/>
    <w:rsid w:val="00964D94"/>
    <w:rPr>
      <w:rFonts w:ascii="Lucida Grande" w:hAnsi="Lucida Grande"/>
      <w:sz w:val="18"/>
      <w:szCs w:val="18"/>
    </w:rPr>
  </w:style>
  <w:style w:type="character" w:customStyle="1" w:styleId="BalloonTextChar">
    <w:name w:val="Balloon Text Char"/>
    <w:basedOn w:val="DefaultParagraphFont"/>
    <w:link w:val="BalloonText"/>
    <w:uiPriority w:val="99"/>
    <w:semiHidden/>
    <w:rsid w:val="00964D94"/>
    <w:rPr>
      <w:rFonts w:ascii="Lucida Grande"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F5"/>
    <w:pPr>
      <w:ind w:left="720"/>
      <w:contextualSpacing/>
    </w:pPr>
  </w:style>
  <w:style w:type="paragraph" w:styleId="Header">
    <w:name w:val="header"/>
    <w:basedOn w:val="Normal"/>
    <w:link w:val="HeaderChar"/>
    <w:uiPriority w:val="99"/>
    <w:unhideWhenUsed/>
    <w:rsid w:val="000F3608"/>
    <w:pPr>
      <w:tabs>
        <w:tab w:val="center" w:pos="4680"/>
        <w:tab w:val="right" w:pos="9360"/>
      </w:tabs>
    </w:pPr>
  </w:style>
  <w:style w:type="character" w:customStyle="1" w:styleId="HeaderChar">
    <w:name w:val="Header Char"/>
    <w:basedOn w:val="DefaultParagraphFont"/>
    <w:link w:val="Header"/>
    <w:uiPriority w:val="99"/>
    <w:rsid w:val="000F3608"/>
    <w:rPr>
      <w:rFonts w:ascii="Times New Roman" w:hAnsi="Times New Roman" w:cs="Times New Roman"/>
      <w:sz w:val="24"/>
      <w:szCs w:val="24"/>
    </w:rPr>
  </w:style>
  <w:style w:type="paragraph" w:styleId="Footer">
    <w:name w:val="footer"/>
    <w:basedOn w:val="Normal"/>
    <w:link w:val="FooterChar"/>
    <w:uiPriority w:val="99"/>
    <w:unhideWhenUsed/>
    <w:rsid w:val="000F3608"/>
    <w:pPr>
      <w:tabs>
        <w:tab w:val="center" w:pos="4680"/>
        <w:tab w:val="right" w:pos="9360"/>
      </w:tabs>
    </w:pPr>
  </w:style>
  <w:style w:type="character" w:customStyle="1" w:styleId="FooterChar">
    <w:name w:val="Footer Char"/>
    <w:basedOn w:val="DefaultParagraphFont"/>
    <w:link w:val="Footer"/>
    <w:uiPriority w:val="99"/>
    <w:rsid w:val="000F3608"/>
    <w:rPr>
      <w:rFonts w:ascii="Times New Roman" w:hAnsi="Times New Roman" w:cs="Times New Roman"/>
      <w:sz w:val="24"/>
      <w:szCs w:val="24"/>
    </w:rPr>
  </w:style>
  <w:style w:type="character" w:styleId="Hyperlink">
    <w:name w:val="Hyperlink"/>
    <w:basedOn w:val="DefaultParagraphFont"/>
    <w:uiPriority w:val="99"/>
    <w:unhideWhenUsed/>
    <w:rsid w:val="004F3173"/>
    <w:rPr>
      <w:color w:val="0000FF" w:themeColor="hyperlink"/>
      <w:u w:val="single"/>
    </w:rPr>
  </w:style>
  <w:style w:type="paragraph" w:styleId="EndnoteText">
    <w:name w:val="endnote text"/>
    <w:basedOn w:val="Normal"/>
    <w:link w:val="EndnoteTextChar"/>
    <w:uiPriority w:val="99"/>
    <w:semiHidden/>
    <w:unhideWhenUsed/>
    <w:rsid w:val="003B5599"/>
    <w:rPr>
      <w:sz w:val="20"/>
      <w:szCs w:val="20"/>
    </w:rPr>
  </w:style>
  <w:style w:type="character" w:customStyle="1" w:styleId="EndnoteTextChar">
    <w:name w:val="Endnote Text Char"/>
    <w:basedOn w:val="DefaultParagraphFont"/>
    <w:link w:val="EndnoteText"/>
    <w:uiPriority w:val="99"/>
    <w:semiHidden/>
    <w:rsid w:val="003B559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B5599"/>
    <w:rPr>
      <w:vertAlign w:val="superscript"/>
    </w:rPr>
  </w:style>
  <w:style w:type="paragraph" w:styleId="BalloonText">
    <w:name w:val="Balloon Text"/>
    <w:basedOn w:val="Normal"/>
    <w:link w:val="BalloonTextChar"/>
    <w:uiPriority w:val="99"/>
    <w:semiHidden/>
    <w:unhideWhenUsed/>
    <w:rsid w:val="00964D94"/>
    <w:rPr>
      <w:rFonts w:ascii="Lucida Grande" w:hAnsi="Lucida Grande"/>
      <w:sz w:val="18"/>
      <w:szCs w:val="18"/>
    </w:rPr>
  </w:style>
  <w:style w:type="character" w:customStyle="1" w:styleId="BalloonTextChar">
    <w:name w:val="Balloon Text Char"/>
    <w:basedOn w:val="DefaultParagraphFont"/>
    <w:link w:val="BalloonText"/>
    <w:uiPriority w:val="99"/>
    <w:semiHidden/>
    <w:rsid w:val="00964D94"/>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DE5D-DF52-0D44-AC8F-25DCAD3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1247</Words>
  <Characters>7109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Whitepaper template</vt:lpstr>
    </vt:vector>
  </TitlesOfParts>
  <Company>Fusion ASAP</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Whitepaper template</dc:title>
  <dc:subject>2 pager</dc:subject>
  <dc:creator>Jonathan E. Menard</dc:creator>
  <cp:lastModifiedBy>Paul Humrickhouse</cp:lastModifiedBy>
  <cp:revision>9</cp:revision>
  <dcterms:created xsi:type="dcterms:W3CDTF">2017-06-27T02:44:00Z</dcterms:created>
  <dcterms:modified xsi:type="dcterms:W3CDTF">2017-06-27T03:23:00Z</dcterms:modified>
</cp:coreProperties>
</file>