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7A" w:rsidRDefault="00B02D7A" w:rsidP="00EF41AE">
      <w:pPr>
        <w:jc w:val="center"/>
      </w:pPr>
      <w:r>
        <w:t>Administrative Cost Working Group</w:t>
      </w:r>
    </w:p>
    <w:p w:rsidR="00B02D7A" w:rsidRDefault="00B02D7A" w:rsidP="00EF41AE">
      <w:pPr>
        <w:jc w:val="center"/>
      </w:pPr>
      <w:r>
        <w:t>Draft Notes from FDP Meeting</w:t>
      </w:r>
    </w:p>
    <w:p w:rsidR="00B02D7A" w:rsidRDefault="00B02D7A" w:rsidP="00EF41AE">
      <w:pPr>
        <w:jc w:val="center"/>
      </w:pPr>
      <w:r>
        <w:t>8/30/10</w:t>
      </w:r>
    </w:p>
    <w:p w:rsidR="00B02D7A" w:rsidRDefault="00B02D7A"/>
    <w:p w:rsidR="00C00E60" w:rsidRDefault="00B02D7A" w:rsidP="006A1057">
      <w:r>
        <w:t xml:space="preserve">The </w:t>
      </w:r>
      <w:r w:rsidR="00C00E60">
        <w:t xml:space="preserve">group was charged with the identification of faculty tasks that are not directly pertinent </w:t>
      </w:r>
      <w:r>
        <w:t>to research but required based on various regulations, laws and requirements associated with c</w:t>
      </w:r>
      <w:r w:rsidR="006A1057">
        <w:t>ompliance</w:t>
      </w:r>
      <w:r w:rsidR="00DB2AD2">
        <w:t xml:space="preserve"> or other non-research aspects of awards</w:t>
      </w:r>
      <w:r w:rsidR="006A1057">
        <w:t xml:space="preserve">. </w:t>
      </w:r>
      <w:r w:rsidR="00EF41AE">
        <w:t>The tasks identified below are assumed to be permissible</w:t>
      </w:r>
      <w:r w:rsidR="000326C8">
        <w:t xml:space="preserve"> as A-21 is currently written</w:t>
      </w:r>
      <w:r w:rsidR="00EF41AE">
        <w:t xml:space="preserve">. In other words, these are </w:t>
      </w:r>
      <w:proofErr w:type="gramStart"/>
      <w:r w:rsidR="00EF41AE">
        <w:t xml:space="preserve">not clerical </w:t>
      </w:r>
      <w:r w:rsidR="007F542E">
        <w:t>n</w:t>
      </w:r>
      <w:r w:rsidR="00EF41AE">
        <w:t>or</w:t>
      </w:r>
      <w:proofErr w:type="gramEnd"/>
      <w:r w:rsidR="00EF41AE">
        <w:t xml:space="preserve"> administrative</w:t>
      </w:r>
      <w:r w:rsidR="007F542E">
        <w:t>,</w:t>
      </w:r>
      <w:r w:rsidR="00EF41AE">
        <w:t xml:space="preserve"> per se</w:t>
      </w:r>
      <w:r w:rsidR="000326C8">
        <w:t xml:space="preserve"> but rather support the management of the project</w:t>
      </w:r>
      <w:r w:rsidR="00EF41AE">
        <w:t xml:space="preserve">. </w:t>
      </w:r>
      <w:r w:rsidR="006A1057">
        <w:t xml:space="preserve">To the extent that other staff </w:t>
      </w:r>
      <w:r>
        <w:t>with specialized</w:t>
      </w:r>
      <w:r w:rsidR="006A1057">
        <w:t xml:space="preserve"> knowledge and skills could either perform these task</w:t>
      </w:r>
      <w:r w:rsidR="00C00E60">
        <w:t xml:space="preserve">s or provide support </w:t>
      </w:r>
      <w:r w:rsidR="006A1057">
        <w:t>in performing the tasks, faculty could increase the percent</w:t>
      </w:r>
      <w:r w:rsidR="00C00E60">
        <w:t xml:space="preserve">age of time and effort associated directly with </w:t>
      </w:r>
      <w:r w:rsidR="006A1057">
        <w:t xml:space="preserve">research. </w:t>
      </w:r>
      <w:r w:rsidR="007F542E">
        <w:t xml:space="preserve"> The extent to which the </w:t>
      </w:r>
      <w:r w:rsidR="00C00E60">
        <w:t>more tangential</w:t>
      </w:r>
      <w:r w:rsidR="009B7988">
        <w:t xml:space="preserve"> tasks are a burden to faculty vary by project, but are particularly onerous when faculty </w:t>
      </w:r>
      <w:r w:rsidR="00C00E60">
        <w:t xml:space="preserve">are </w:t>
      </w:r>
      <w:r w:rsidR="009B7988">
        <w:t>engage</w:t>
      </w:r>
      <w:r w:rsidR="007F542E">
        <w:t>d</w:t>
      </w:r>
      <w:r w:rsidR="009B7988">
        <w:t xml:space="preserve"> in research </w:t>
      </w:r>
      <w:r w:rsidR="00C00E60">
        <w:t>tha</w:t>
      </w:r>
      <w:r w:rsidR="00DB2AD2">
        <w:t xml:space="preserve">t is heavily regulated (e.g., </w:t>
      </w:r>
      <w:r w:rsidR="00C00E60">
        <w:t xml:space="preserve">studies </w:t>
      </w:r>
      <w:r w:rsidR="009B7988">
        <w:t>involving human subjects or animal care</w:t>
      </w:r>
      <w:r w:rsidR="00DB2AD2">
        <w:t>)</w:t>
      </w:r>
      <w:r w:rsidR="009B7988">
        <w:t xml:space="preserve">. </w:t>
      </w:r>
    </w:p>
    <w:p w:rsidR="00C00E60" w:rsidRDefault="00C00E60" w:rsidP="006A1057"/>
    <w:p w:rsidR="00EF41AE" w:rsidRDefault="00EF41AE">
      <w:r>
        <w:t>Three possible approaches to</w:t>
      </w:r>
      <w:r w:rsidR="007F542E">
        <w:t xml:space="preserve"> address the faculty burden</w:t>
      </w:r>
      <w:r>
        <w:t xml:space="preserve"> we</w:t>
      </w:r>
      <w:r w:rsidR="007F542E">
        <w:t xml:space="preserve">re discussed: (1) PI direct charges the appropriate staff in project budgets and narratives, and the federal agency approves as part of the award; (2) a </w:t>
      </w:r>
      <w:r>
        <w:t>project management model</w:t>
      </w:r>
      <w:r w:rsidR="007F542E">
        <w:t xml:space="preserve"> addresses common needs for research support that are domain specific</w:t>
      </w:r>
      <w:r w:rsidR="000326C8">
        <w:t xml:space="preserve"> and the PI direct charges portions of the staff assigned to this group to federal awards</w:t>
      </w:r>
      <w:r w:rsidR="007F542E">
        <w:t>; and (3) a university-wide, centralized approach to the provision of research support</w:t>
      </w:r>
      <w:r w:rsidR="000326C8">
        <w:t xml:space="preserve"> is funded by increase in F&amp;A recovery (raise cap)</w:t>
      </w:r>
      <w:r w:rsidR="007F542E">
        <w:t>.</w:t>
      </w:r>
    </w:p>
    <w:p w:rsidR="00EF41AE" w:rsidRDefault="00EF41AE"/>
    <w:p w:rsidR="00DB2AD2" w:rsidRDefault="000326C8">
      <w:r>
        <w:t xml:space="preserve">Approach 1 &amp; 2 rely on commonly held assumptions/interpretations of allowable tasks under the current version of A-21.  </w:t>
      </w:r>
      <w:r w:rsidR="00DB2AD2">
        <w:t xml:space="preserve">Examples of tasks that are considered burdensome to </w:t>
      </w:r>
      <w:r>
        <w:t xml:space="preserve">faculty, but allowable given the ‘project management’ nature of the tasks, </w:t>
      </w:r>
      <w:r w:rsidR="00DB2AD2">
        <w:t>include the following:</w:t>
      </w:r>
    </w:p>
    <w:p w:rsidR="00DB2AD2" w:rsidRDefault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IRB process, including informed consent</w:t>
      </w:r>
    </w:p>
    <w:p w:rsidR="00DB2AD2" w:rsidRDefault="00DB2AD2" w:rsidP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IACUC</w:t>
      </w:r>
    </w:p>
    <w:p w:rsidR="00DB2AD2" w:rsidRDefault="00DB2AD2" w:rsidP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OSHA requirement (e.g., select agents)</w:t>
      </w:r>
    </w:p>
    <w:p w:rsidR="00DB2AD2" w:rsidRDefault="00DB2AD2" w:rsidP="00DB2AD2"/>
    <w:p w:rsidR="00DB2AD2" w:rsidRDefault="007F542E" w:rsidP="00DB2AD2">
      <w:pPr>
        <w:pStyle w:val="ListParagraph"/>
        <w:numPr>
          <w:ilvl w:val="0"/>
          <w:numId w:val="1"/>
        </w:numPr>
      </w:pPr>
      <w:r>
        <w:t>Clinical trials</w:t>
      </w:r>
      <w:r w:rsidR="00DB2AD2">
        <w:t>.gov registration</w:t>
      </w:r>
    </w:p>
    <w:p w:rsidR="00DB2AD2" w:rsidRDefault="00DB2AD2" w:rsidP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Ancillary committees (IBS, radiation)</w:t>
      </w:r>
    </w:p>
    <w:p w:rsidR="00DB2AD2" w:rsidRDefault="00DB2AD2" w:rsidP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Sub-recipient monitoring</w:t>
      </w:r>
    </w:p>
    <w:p w:rsidR="00DB2AD2" w:rsidRDefault="00DB2AD2" w:rsidP="00DB2AD2"/>
    <w:p w:rsidR="00DB2AD2" w:rsidRDefault="00DB2AD2" w:rsidP="00DB2AD2">
      <w:pPr>
        <w:pStyle w:val="ListParagraph"/>
        <w:numPr>
          <w:ilvl w:val="0"/>
          <w:numId w:val="1"/>
        </w:numPr>
      </w:pPr>
      <w:r>
        <w:t>Export controls, including licensing</w:t>
      </w:r>
    </w:p>
    <w:p w:rsidR="00DB2AD2" w:rsidRDefault="00DB2AD2" w:rsidP="00DB2AD2"/>
    <w:p w:rsidR="00EF41AE" w:rsidRDefault="00DB2AD2" w:rsidP="00DB2AD2">
      <w:pPr>
        <w:pStyle w:val="ListParagraph"/>
        <w:numPr>
          <w:ilvl w:val="0"/>
          <w:numId w:val="1"/>
        </w:numPr>
      </w:pPr>
      <w:r>
        <w:t>Project outreach/public engagement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>Public access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lastRenderedPageBreak/>
        <w:t xml:space="preserve"> Data management and data sharing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>Effort reporting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Project certification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Milestone management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Technical reporting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IND/IDE (Drug &amp; Devices)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Small business contracting goals</w:t>
      </w:r>
    </w:p>
    <w:p w:rsidR="00EF41AE" w:rsidRDefault="00EF41AE" w:rsidP="00EF41AE"/>
    <w:p w:rsidR="00EF41AE" w:rsidRDefault="00EF41AE" w:rsidP="00DB2AD2">
      <w:pPr>
        <w:pStyle w:val="ListParagraph"/>
        <w:numPr>
          <w:ilvl w:val="0"/>
          <w:numId w:val="1"/>
        </w:numPr>
      </w:pPr>
      <w:r>
        <w:t xml:space="preserve"> Material transfer agreements</w:t>
      </w:r>
    </w:p>
    <w:p w:rsidR="00EF41AE" w:rsidRDefault="00EF41AE" w:rsidP="00EF41AE"/>
    <w:p w:rsidR="00DB2AD2" w:rsidRDefault="00EF41AE" w:rsidP="00DB2AD2">
      <w:pPr>
        <w:pStyle w:val="ListParagraph"/>
        <w:numPr>
          <w:ilvl w:val="0"/>
          <w:numId w:val="1"/>
        </w:numPr>
      </w:pPr>
      <w:r>
        <w:t xml:space="preserve"> Subcontract plans</w:t>
      </w:r>
    </w:p>
    <w:p w:rsidR="007F542E" w:rsidRDefault="007F542E" w:rsidP="007F542E"/>
    <w:p w:rsidR="007F542E" w:rsidRDefault="007F542E" w:rsidP="007F542E"/>
    <w:p w:rsidR="007F542E" w:rsidRDefault="007F542E" w:rsidP="007F542E">
      <w:r>
        <w:t xml:space="preserve">The next step in the process will be to draft a white paper describing these </w:t>
      </w:r>
      <w:r w:rsidR="001E6E5A">
        <w:t xml:space="preserve">project management </w:t>
      </w:r>
      <w:r>
        <w:t xml:space="preserve">tasks and to propose a pilot </w:t>
      </w:r>
      <w:r w:rsidR="001E6E5A">
        <w:t xml:space="preserve">for FDP schools to consistently direct charge </w:t>
      </w:r>
      <w:r>
        <w:t xml:space="preserve">pro-rated costs to multiple awards at levels ranging from as low as 5% to 10% to 50% or higher based on the specific </w:t>
      </w:r>
      <w:r w:rsidR="001E6E5A">
        <w:t xml:space="preserve">responsibilities of the individual </w:t>
      </w:r>
      <w:r>
        <w:t xml:space="preserve">contract or grant.  Feedback from faculty engaged in the pilot will determine whether or not additional steps should be taken, including those involving OMB. </w:t>
      </w:r>
    </w:p>
    <w:p w:rsidR="007F542E" w:rsidRDefault="007F542E" w:rsidP="007F542E"/>
    <w:p w:rsidR="00B02D7A" w:rsidRDefault="00B02D7A" w:rsidP="007F542E"/>
    <w:sectPr w:rsidR="00B02D7A" w:rsidSect="00B0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B1DBE"/>
    <w:multiLevelType w:val="hybridMultilevel"/>
    <w:tmpl w:val="280E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02D7A"/>
    <w:rsid w:val="000326C8"/>
    <w:rsid w:val="001827E8"/>
    <w:rsid w:val="001E6E5A"/>
    <w:rsid w:val="005C5DC3"/>
    <w:rsid w:val="006A1057"/>
    <w:rsid w:val="007F542E"/>
    <w:rsid w:val="009B7988"/>
    <w:rsid w:val="00B02D7A"/>
    <w:rsid w:val="00C00E60"/>
    <w:rsid w:val="00DB2AD2"/>
    <w:rsid w:val="00EB1257"/>
    <w:rsid w:val="00EF41AE"/>
    <w:rsid w:val="00F7302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Systems Institute</dc:creator>
  <cp:keywords/>
  <cp:lastModifiedBy>Chris Cook</cp:lastModifiedBy>
  <cp:revision>2</cp:revision>
  <dcterms:created xsi:type="dcterms:W3CDTF">2010-09-09T22:15:00Z</dcterms:created>
  <dcterms:modified xsi:type="dcterms:W3CDTF">2010-09-09T22:15:00Z</dcterms:modified>
</cp:coreProperties>
</file>