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075" w:rsidRPr="007E3DCA" w:rsidRDefault="00383075" w:rsidP="003311E5">
      <w:pPr>
        <w:jc w:val="center"/>
        <w:rPr>
          <w:b/>
          <w:sz w:val="28"/>
          <w:szCs w:val="28"/>
        </w:rPr>
      </w:pPr>
      <w:r w:rsidRPr="007E3DCA">
        <w:rPr>
          <w:b/>
          <w:sz w:val="28"/>
          <w:szCs w:val="28"/>
        </w:rPr>
        <w:t>Legal Options for the Exchange of Data through the GEOSS Data-CORE</w:t>
      </w:r>
    </w:p>
    <w:p w:rsidR="00383075" w:rsidRPr="00024BD4" w:rsidRDefault="00383075" w:rsidP="003311E5">
      <w:pPr>
        <w:jc w:val="center"/>
        <w:rPr>
          <w:b/>
          <w:sz w:val="32"/>
          <w:szCs w:val="32"/>
        </w:rPr>
      </w:pPr>
    </w:p>
    <w:p w:rsidR="00383075" w:rsidRPr="007E3DCA" w:rsidRDefault="00383075" w:rsidP="00022171">
      <w:pPr>
        <w:jc w:val="center"/>
        <w:rPr>
          <w:b/>
        </w:rPr>
      </w:pPr>
      <w:r w:rsidRPr="007E3DCA">
        <w:rPr>
          <w:b/>
        </w:rPr>
        <w:t>Data Sharing Task Force</w:t>
      </w:r>
      <w:r w:rsidRPr="007E3DCA">
        <w:rPr>
          <w:rStyle w:val="FootnoteReference"/>
          <w:b/>
        </w:rPr>
        <w:footnoteReference w:id="1"/>
      </w:r>
    </w:p>
    <w:p w:rsidR="00383075" w:rsidRPr="007E3DCA" w:rsidRDefault="00383075" w:rsidP="008312EA">
      <w:pPr>
        <w:pStyle w:val="Body"/>
        <w:ind w:left="0"/>
        <w:jc w:val="center"/>
        <w:rPr>
          <w:rFonts w:ascii="Times New Roman" w:hAnsi="Times New Roman"/>
          <w:b/>
          <w:szCs w:val="24"/>
        </w:rPr>
      </w:pPr>
      <w:r w:rsidRPr="007E3DCA">
        <w:rPr>
          <w:rFonts w:ascii="Times New Roman" w:hAnsi="Times New Roman"/>
          <w:b/>
          <w:szCs w:val="24"/>
        </w:rPr>
        <w:t>Group on Earth Observations</w:t>
      </w:r>
    </w:p>
    <w:p w:rsidR="00383075" w:rsidRDefault="00383075" w:rsidP="00022171">
      <w:pPr>
        <w:pStyle w:val="Body"/>
        <w:ind w:left="0"/>
        <w:rPr>
          <w:rFonts w:ascii="Times New Roman" w:hAnsi="Times New Roman"/>
        </w:rPr>
      </w:pPr>
    </w:p>
    <w:p w:rsidR="00383075" w:rsidRPr="007E3DCA" w:rsidRDefault="00383075" w:rsidP="00022171">
      <w:pPr>
        <w:pStyle w:val="Body"/>
        <w:ind w:left="0"/>
        <w:rPr>
          <w:rFonts w:ascii="Times New Roman" w:hAnsi="Times New Roman"/>
          <w:b/>
        </w:rPr>
      </w:pPr>
      <w:r w:rsidRPr="007E3DCA">
        <w:rPr>
          <w:rFonts w:ascii="Times New Roman" w:hAnsi="Times New Roman"/>
          <w:b/>
        </w:rPr>
        <w:t>1. Pu</w:t>
      </w:r>
      <w:r>
        <w:rPr>
          <w:rFonts w:ascii="Times New Roman" w:hAnsi="Times New Roman"/>
          <w:b/>
        </w:rPr>
        <w:t>r</w:t>
      </w:r>
      <w:r w:rsidRPr="007E3DCA">
        <w:rPr>
          <w:rFonts w:ascii="Times New Roman" w:hAnsi="Times New Roman"/>
          <w:b/>
        </w:rPr>
        <w:t>pose</w:t>
      </w:r>
    </w:p>
    <w:p w:rsidR="00383075" w:rsidRPr="00024BD4" w:rsidRDefault="00383075" w:rsidP="00BB761E">
      <w:pPr>
        <w:pStyle w:val="Body"/>
        <w:spacing w:line="360" w:lineRule="auto"/>
        <w:ind w:left="0"/>
        <w:rPr>
          <w:rFonts w:ascii="Times New Roman" w:hAnsi="Times New Roman"/>
          <w:bCs/>
          <w:iCs/>
          <w:sz w:val="22"/>
          <w:szCs w:val="22"/>
        </w:rPr>
      </w:pPr>
      <w:r>
        <w:rPr>
          <w:rFonts w:ascii="Times New Roman" w:hAnsi="Times New Roman"/>
          <w:bCs/>
          <w:iCs/>
          <w:sz w:val="22"/>
          <w:szCs w:val="22"/>
        </w:rPr>
        <w:t xml:space="preserve">1.1 </w:t>
      </w:r>
      <w:r w:rsidRPr="00024BD4">
        <w:rPr>
          <w:rFonts w:ascii="Times New Roman" w:hAnsi="Times New Roman"/>
          <w:bCs/>
          <w:iCs/>
          <w:sz w:val="22"/>
          <w:szCs w:val="22"/>
        </w:rPr>
        <w:t>This summary</w:t>
      </w:r>
      <w:r>
        <w:rPr>
          <w:rFonts w:ascii="Times New Roman" w:hAnsi="Times New Roman"/>
          <w:bCs/>
          <w:iCs/>
          <w:sz w:val="22"/>
          <w:szCs w:val="22"/>
        </w:rPr>
        <w:t xml:space="preserve"> document</w:t>
      </w:r>
      <w:r>
        <w:rPr>
          <w:rStyle w:val="FootnoteReference"/>
          <w:rFonts w:ascii="Times New Roman" w:hAnsi="Times New Roman"/>
          <w:bCs/>
          <w:iCs/>
          <w:sz w:val="22"/>
          <w:szCs w:val="22"/>
        </w:rPr>
        <w:footnoteReference w:id="2"/>
      </w:r>
      <w:r w:rsidRPr="00024BD4">
        <w:rPr>
          <w:rFonts w:ascii="Times New Roman" w:hAnsi="Times New Roman"/>
          <w:bCs/>
          <w:iCs/>
          <w:sz w:val="22"/>
          <w:szCs w:val="22"/>
        </w:rPr>
        <w:t xml:space="preserve"> addresses the legal </w:t>
      </w:r>
      <w:r>
        <w:rPr>
          <w:rFonts w:ascii="Times New Roman" w:hAnsi="Times New Roman"/>
          <w:bCs/>
          <w:iCs/>
          <w:sz w:val="22"/>
          <w:szCs w:val="22"/>
        </w:rPr>
        <w:t>options for the exchange</w:t>
      </w:r>
      <w:r w:rsidRPr="00024BD4">
        <w:rPr>
          <w:rFonts w:ascii="Times New Roman" w:hAnsi="Times New Roman"/>
          <w:bCs/>
          <w:iCs/>
          <w:sz w:val="22"/>
          <w:szCs w:val="22"/>
        </w:rPr>
        <w:t xml:space="preserve"> of data</w:t>
      </w:r>
      <w:r>
        <w:rPr>
          <w:rFonts w:ascii="Times New Roman" w:hAnsi="Times New Roman"/>
          <w:bCs/>
          <w:iCs/>
          <w:sz w:val="22"/>
          <w:szCs w:val="22"/>
        </w:rPr>
        <w:t>, metadata, and products [referred to individually and collectively as “data” below]</w:t>
      </w:r>
      <w:r w:rsidRPr="00024BD4">
        <w:rPr>
          <w:rFonts w:ascii="Times New Roman" w:hAnsi="Times New Roman"/>
          <w:bCs/>
          <w:iCs/>
          <w:sz w:val="22"/>
          <w:szCs w:val="22"/>
        </w:rPr>
        <w:t xml:space="preserve"> through the </w:t>
      </w:r>
      <w:r w:rsidRPr="00024BD4">
        <w:rPr>
          <w:rFonts w:ascii="Times New Roman" w:hAnsi="Times New Roman"/>
          <w:sz w:val="22"/>
          <w:szCs w:val="22"/>
        </w:rPr>
        <w:t>GEOSS Data Collection of Open Resources for Everyone (Data-CORE)</w:t>
      </w:r>
      <w:r w:rsidRPr="00024BD4">
        <w:rPr>
          <w:rFonts w:ascii="Times New Roman" w:hAnsi="Times New Roman"/>
          <w:bCs/>
          <w:iCs/>
          <w:sz w:val="22"/>
          <w:szCs w:val="22"/>
        </w:rPr>
        <w:t>. The GEOSS Data-CORE</w:t>
      </w:r>
      <w:r w:rsidRPr="00024BD4">
        <w:rPr>
          <w:rFonts w:ascii="Times New Roman" w:hAnsi="Times New Roman"/>
          <w:sz w:val="22"/>
          <w:szCs w:val="22"/>
          <w:lang w:val="en-GB"/>
        </w:rPr>
        <w:t xml:space="preserve"> is a distributed pool of documented data contributed by the GEO community </w:t>
      </w:r>
      <w:r w:rsidRPr="00024BD4">
        <w:rPr>
          <w:rFonts w:ascii="Times New Roman" w:hAnsi="Times New Roman"/>
          <w:bCs/>
          <w:iCs/>
          <w:sz w:val="22"/>
          <w:szCs w:val="22"/>
        </w:rPr>
        <w:t>under the following principles, as set forth in the 2010 GEOSS Action Plan:</w:t>
      </w:r>
    </w:p>
    <w:p w:rsidR="00383075" w:rsidRPr="00024BD4" w:rsidRDefault="00383075" w:rsidP="007E3DCA">
      <w:pPr>
        <w:pStyle w:val="Body"/>
        <w:spacing w:line="360" w:lineRule="auto"/>
        <w:ind w:left="0"/>
        <w:rPr>
          <w:rFonts w:ascii="Times New Roman" w:hAnsi="Times New Roman"/>
          <w:bCs/>
          <w:iCs/>
          <w:sz w:val="22"/>
          <w:szCs w:val="22"/>
        </w:rPr>
      </w:pPr>
      <w:r>
        <w:rPr>
          <w:rFonts w:ascii="Times New Roman" w:hAnsi="Times New Roman"/>
          <w:bCs/>
          <w:iCs/>
          <w:sz w:val="22"/>
          <w:szCs w:val="22"/>
        </w:rPr>
        <w:t xml:space="preserve">a. </w:t>
      </w:r>
      <w:r w:rsidRPr="00024BD4">
        <w:rPr>
          <w:rFonts w:ascii="Times New Roman" w:hAnsi="Times New Roman"/>
          <w:bCs/>
          <w:iCs/>
          <w:sz w:val="22"/>
          <w:szCs w:val="22"/>
        </w:rPr>
        <w:t>The data are free of restrictions on re-use;</w:t>
      </w:r>
    </w:p>
    <w:p w:rsidR="00383075" w:rsidRPr="00024BD4" w:rsidRDefault="00383075" w:rsidP="007E3DCA">
      <w:pPr>
        <w:pStyle w:val="Body"/>
        <w:spacing w:line="360" w:lineRule="auto"/>
        <w:ind w:left="0"/>
        <w:rPr>
          <w:rFonts w:ascii="Times New Roman" w:hAnsi="Times New Roman"/>
          <w:bCs/>
          <w:iCs/>
          <w:sz w:val="22"/>
          <w:szCs w:val="22"/>
        </w:rPr>
      </w:pPr>
      <w:r>
        <w:rPr>
          <w:rFonts w:ascii="Times New Roman" w:hAnsi="Times New Roman"/>
          <w:bCs/>
          <w:iCs/>
          <w:sz w:val="22"/>
          <w:szCs w:val="22"/>
        </w:rPr>
        <w:t xml:space="preserve">b. </w:t>
      </w:r>
      <w:r w:rsidRPr="00024BD4">
        <w:rPr>
          <w:rFonts w:ascii="Times New Roman" w:hAnsi="Times New Roman"/>
          <w:bCs/>
          <w:iCs/>
          <w:sz w:val="22"/>
          <w:szCs w:val="22"/>
        </w:rPr>
        <w:t>User registration or login to access or use the data is permitted;</w:t>
      </w:r>
    </w:p>
    <w:p w:rsidR="00383075" w:rsidRPr="00024BD4" w:rsidRDefault="00383075" w:rsidP="007E3DCA">
      <w:pPr>
        <w:pStyle w:val="Body"/>
        <w:spacing w:line="360" w:lineRule="auto"/>
        <w:ind w:left="0"/>
        <w:rPr>
          <w:rFonts w:ascii="Times New Roman" w:hAnsi="Times New Roman"/>
          <w:bCs/>
          <w:iCs/>
          <w:sz w:val="22"/>
          <w:szCs w:val="22"/>
        </w:rPr>
      </w:pPr>
      <w:r>
        <w:rPr>
          <w:rFonts w:ascii="Times New Roman" w:hAnsi="Times New Roman"/>
          <w:bCs/>
          <w:iCs/>
          <w:sz w:val="22"/>
          <w:szCs w:val="22"/>
        </w:rPr>
        <w:t xml:space="preserve">c. </w:t>
      </w:r>
      <w:r w:rsidRPr="00024BD4">
        <w:rPr>
          <w:rFonts w:ascii="Times New Roman" w:hAnsi="Times New Roman"/>
          <w:bCs/>
          <w:iCs/>
          <w:sz w:val="22"/>
          <w:szCs w:val="22"/>
        </w:rPr>
        <w:t>Attribution of the data provider is permitted as a condition of use; and</w:t>
      </w:r>
    </w:p>
    <w:p w:rsidR="00383075" w:rsidRPr="00024BD4" w:rsidRDefault="00383075" w:rsidP="007E3DCA">
      <w:pPr>
        <w:pStyle w:val="Body"/>
        <w:spacing w:line="360" w:lineRule="auto"/>
        <w:ind w:left="0"/>
        <w:rPr>
          <w:rFonts w:ascii="Times New Roman" w:hAnsi="Times New Roman"/>
          <w:bCs/>
          <w:iCs/>
          <w:sz w:val="22"/>
          <w:szCs w:val="22"/>
        </w:rPr>
      </w:pPr>
      <w:r>
        <w:rPr>
          <w:rFonts w:ascii="Times New Roman" w:hAnsi="Times New Roman"/>
          <w:bCs/>
          <w:iCs/>
          <w:sz w:val="22"/>
          <w:szCs w:val="22"/>
        </w:rPr>
        <w:t xml:space="preserve">d. </w:t>
      </w:r>
      <w:r w:rsidRPr="00024BD4">
        <w:rPr>
          <w:rFonts w:ascii="Times New Roman" w:hAnsi="Times New Roman"/>
          <w:bCs/>
          <w:iCs/>
          <w:sz w:val="22"/>
          <w:szCs w:val="22"/>
        </w:rPr>
        <w:t>Marginal cost recovery charges (i.e., not greater than the cost of reproduction and distribution) are permitted.</w:t>
      </w:r>
    </w:p>
    <w:p w:rsidR="00383075" w:rsidRDefault="00383075" w:rsidP="00BB761E">
      <w:pPr>
        <w:pStyle w:val="Body"/>
        <w:spacing w:line="360" w:lineRule="auto"/>
        <w:ind w:left="0"/>
        <w:rPr>
          <w:rFonts w:ascii="Times New Roman" w:hAnsi="Times New Roman"/>
          <w:bCs/>
          <w:iCs/>
          <w:sz w:val="22"/>
          <w:szCs w:val="22"/>
        </w:rPr>
      </w:pPr>
      <w:r>
        <w:rPr>
          <w:rFonts w:ascii="Times New Roman" w:hAnsi="Times New Roman"/>
          <w:bCs/>
          <w:iCs/>
          <w:sz w:val="22"/>
          <w:szCs w:val="22"/>
        </w:rPr>
        <w:t xml:space="preserve">1.2 </w:t>
      </w:r>
      <w:r w:rsidRPr="00024BD4">
        <w:rPr>
          <w:rFonts w:ascii="Times New Roman" w:hAnsi="Times New Roman"/>
          <w:bCs/>
          <w:iCs/>
          <w:sz w:val="22"/>
          <w:szCs w:val="22"/>
        </w:rPr>
        <w:t>It is important to note that user registration, attribution of provider, and marginal cost recovery charges for access to the data are not considered restrictions in the context of the GEOSS Data-CORE.</w:t>
      </w:r>
    </w:p>
    <w:p w:rsidR="00383075" w:rsidRPr="00024BD4" w:rsidRDefault="00383075" w:rsidP="00BB761E">
      <w:pPr>
        <w:pStyle w:val="Body"/>
        <w:spacing w:line="360" w:lineRule="auto"/>
        <w:ind w:left="0"/>
        <w:rPr>
          <w:rFonts w:ascii="Times New Roman" w:hAnsi="Times New Roman"/>
          <w:bCs/>
          <w:iCs/>
          <w:sz w:val="22"/>
          <w:szCs w:val="22"/>
        </w:rPr>
      </w:pPr>
    </w:p>
    <w:p w:rsidR="00383075" w:rsidRPr="00024BD4" w:rsidRDefault="00383075" w:rsidP="00024BD4">
      <w:pPr>
        <w:spacing w:line="360" w:lineRule="auto"/>
        <w:rPr>
          <w:b/>
          <w:sz w:val="22"/>
          <w:szCs w:val="22"/>
        </w:rPr>
      </w:pPr>
      <w:r>
        <w:rPr>
          <w:b/>
          <w:sz w:val="22"/>
          <w:szCs w:val="22"/>
        </w:rPr>
        <w:t>2</w:t>
      </w:r>
      <w:r w:rsidRPr="00024BD4">
        <w:rPr>
          <w:b/>
          <w:sz w:val="22"/>
          <w:szCs w:val="22"/>
        </w:rPr>
        <w:t xml:space="preserve">. </w:t>
      </w:r>
      <w:r>
        <w:rPr>
          <w:b/>
          <w:sz w:val="22"/>
          <w:szCs w:val="22"/>
        </w:rPr>
        <w:t xml:space="preserve"> Findings and </w:t>
      </w:r>
      <w:r w:rsidRPr="00024BD4">
        <w:rPr>
          <w:b/>
          <w:sz w:val="22"/>
          <w:szCs w:val="22"/>
        </w:rPr>
        <w:t>Conclusions</w:t>
      </w:r>
    </w:p>
    <w:p w:rsidR="00383075" w:rsidRDefault="00383075" w:rsidP="007E3DCA">
      <w:pPr>
        <w:pStyle w:val="Body"/>
        <w:spacing w:line="360" w:lineRule="auto"/>
        <w:ind w:left="0"/>
        <w:rPr>
          <w:rFonts w:ascii="Times New Roman" w:eastAsia="MS Mincho" w:hAnsi="Times New Roman"/>
          <w:sz w:val="22"/>
          <w:szCs w:val="22"/>
          <w:lang w:eastAsia="ja-JP"/>
        </w:rPr>
      </w:pPr>
      <w:r>
        <w:rPr>
          <w:rFonts w:ascii="Times New Roman" w:hAnsi="Times New Roman"/>
          <w:sz w:val="22"/>
          <w:szCs w:val="22"/>
        </w:rPr>
        <w:t xml:space="preserve">2.1 </w:t>
      </w:r>
      <w:r w:rsidRPr="007E3DCA">
        <w:rPr>
          <w:rFonts w:ascii="Times New Roman" w:hAnsi="Times New Roman"/>
          <w:sz w:val="22"/>
          <w:szCs w:val="22"/>
        </w:rPr>
        <w:t xml:space="preserve">The “legal interoperability” of data made available through the GEOSS Data-CORE </w:t>
      </w:r>
      <w:r>
        <w:rPr>
          <w:rFonts w:ascii="Times New Roman" w:hAnsi="Times New Roman"/>
          <w:sz w:val="22"/>
          <w:szCs w:val="22"/>
        </w:rPr>
        <w:t>is</w:t>
      </w:r>
      <w:r w:rsidRPr="007E3DCA">
        <w:rPr>
          <w:rFonts w:ascii="Times New Roman" w:hAnsi="Times New Roman"/>
          <w:sz w:val="22"/>
          <w:szCs w:val="22"/>
        </w:rPr>
        <w:t xml:space="preserve"> essential for the effective sharing of data in GEOSS, which is a priority of the GEO Members. </w:t>
      </w:r>
      <w:r>
        <w:rPr>
          <w:rFonts w:ascii="Times New Roman" w:hAnsi="Times New Roman"/>
          <w:sz w:val="22"/>
          <w:szCs w:val="22"/>
        </w:rPr>
        <w:t>L</w:t>
      </w:r>
      <w:r w:rsidRPr="007E3DCA">
        <w:rPr>
          <w:rFonts w:ascii="Times New Roman" w:eastAsia="MS Mincho" w:hAnsi="Times New Roman"/>
          <w:sz w:val="22"/>
          <w:szCs w:val="22"/>
          <w:lang w:eastAsia="ja-JP"/>
        </w:rPr>
        <w:t>egal interoperability for d</w:t>
      </w:r>
      <w:r>
        <w:rPr>
          <w:rFonts w:ascii="Times New Roman" w:eastAsia="MS Mincho" w:hAnsi="Times New Roman"/>
          <w:sz w:val="22"/>
          <w:szCs w:val="22"/>
          <w:lang w:eastAsia="ja-JP"/>
        </w:rPr>
        <w:t>ata means that the</w:t>
      </w:r>
      <w:r w:rsidRPr="007E3DCA">
        <w:rPr>
          <w:rFonts w:ascii="Times New Roman" w:eastAsia="MS Mincho" w:hAnsi="Times New Roman"/>
          <w:sz w:val="22"/>
          <w:szCs w:val="22"/>
          <w:lang w:eastAsia="ja-JP"/>
        </w:rPr>
        <w:t xml:space="preserve"> legal rights, terms, and conditions of databases from two or more sources </w:t>
      </w:r>
      <w:r>
        <w:rPr>
          <w:rFonts w:ascii="Times New Roman" w:eastAsia="MS Mincho" w:hAnsi="Times New Roman"/>
          <w:sz w:val="22"/>
          <w:szCs w:val="22"/>
          <w:lang w:eastAsia="ja-JP"/>
        </w:rPr>
        <w:t>are compatible and</w:t>
      </w:r>
      <w:r w:rsidRPr="007E3DCA">
        <w:rPr>
          <w:rFonts w:ascii="Times New Roman" w:eastAsia="MS Mincho" w:hAnsi="Times New Roman"/>
          <w:sz w:val="22"/>
          <w:szCs w:val="22"/>
          <w:lang w:eastAsia="ja-JP"/>
        </w:rPr>
        <w:t xml:space="preserve"> the data may be combined and integrated by any user without compromising the legal rights of any of the data sources used. </w:t>
      </w:r>
    </w:p>
    <w:p w:rsidR="00383075" w:rsidRPr="007E3DCA" w:rsidRDefault="00383075" w:rsidP="007E3DCA">
      <w:pPr>
        <w:pStyle w:val="Body"/>
        <w:spacing w:line="360" w:lineRule="auto"/>
        <w:ind w:left="0"/>
        <w:rPr>
          <w:rFonts w:ascii="Times New Roman" w:hAnsi="Times New Roman"/>
          <w:sz w:val="22"/>
          <w:szCs w:val="22"/>
        </w:rPr>
      </w:pPr>
      <w:r>
        <w:rPr>
          <w:rFonts w:ascii="Times New Roman" w:eastAsia="MS Mincho" w:hAnsi="Times New Roman"/>
          <w:sz w:val="22"/>
          <w:szCs w:val="22"/>
          <w:lang w:eastAsia="ja-JP"/>
        </w:rPr>
        <w:t>2.2 When substantial amounts of data are combined from two or more different databases, the new resulting database will acquire the most restrictive rights from any of the databases used.</w:t>
      </w:r>
    </w:p>
    <w:p w:rsidR="00383075" w:rsidRPr="00024BD4" w:rsidRDefault="00383075" w:rsidP="00024BD4">
      <w:pPr>
        <w:pStyle w:val="Body"/>
        <w:spacing w:line="360" w:lineRule="auto"/>
        <w:ind w:left="0"/>
        <w:rPr>
          <w:rFonts w:ascii="Times New Roman" w:hAnsi="Times New Roman"/>
          <w:position w:val="-2"/>
          <w:sz w:val="22"/>
          <w:szCs w:val="22"/>
        </w:rPr>
      </w:pPr>
      <w:r>
        <w:rPr>
          <w:rFonts w:ascii="Times New Roman" w:hAnsi="Times New Roman"/>
          <w:sz w:val="22"/>
          <w:szCs w:val="22"/>
        </w:rPr>
        <w:t>2.3 S</w:t>
      </w:r>
      <w:r w:rsidRPr="00024BD4">
        <w:rPr>
          <w:rFonts w:ascii="Times New Roman" w:hAnsi="Times New Roman"/>
          <w:sz w:val="22"/>
          <w:szCs w:val="22"/>
        </w:rPr>
        <w:t>tatutory public domain</w:t>
      </w:r>
      <w:r w:rsidRPr="00024BD4">
        <w:rPr>
          <w:rFonts w:ascii="Times New Roman" w:hAnsi="Times New Roman"/>
          <w:position w:val="-2"/>
          <w:sz w:val="22"/>
          <w:szCs w:val="22"/>
        </w:rPr>
        <w:t xml:space="preserve"> </w:t>
      </w:r>
      <w:r>
        <w:rPr>
          <w:rFonts w:ascii="Times New Roman" w:hAnsi="Times New Roman"/>
          <w:position w:val="-2"/>
          <w:sz w:val="22"/>
          <w:szCs w:val="22"/>
        </w:rPr>
        <w:t xml:space="preserve">status </w:t>
      </w:r>
      <w:r w:rsidRPr="00024BD4">
        <w:rPr>
          <w:rFonts w:ascii="Times New Roman" w:hAnsi="Times New Roman"/>
          <w:position w:val="-2"/>
          <w:sz w:val="22"/>
          <w:szCs w:val="22"/>
        </w:rPr>
        <w:t xml:space="preserve">is the best legal option for meeting the unrestricted re-use, legal interoperability, </w:t>
      </w:r>
      <w:r>
        <w:rPr>
          <w:rFonts w:ascii="Times New Roman" w:hAnsi="Times New Roman"/>
          <w:position w:val="-2"/>
          <w:sz w:val="22"/>
          <w:szCs w:val="22"/>
        </w:rPr>
        <w:t xml:space="preserve">and </w:t>
      </w:r>
      <w:r w:rsidRPr="00024BD4">
        <w:rPr>
          <w:rFonts w:ascii="Times New Roman" w:hAnsi="Times New Roman"/>
          <w:position w:val="-2"/>
          <w:sz w:val="22"/>
          <w:szCs w:val="22"/>
        </w:rPr>
        <w:t>re-dissemination</w:t>
      </w:r>
      <w:r>
        <w:rPr>
          <w:rFonts w:ascii="Times New Roman" w:hAnsi="Times New Roman"/>
          <w:position w:val="-2"/>
          <w:sz w:val="22"/>
          <w:szCs w:val="22"/>
        </w:rPr>
        <w:t xml:space="preserve"> of data</w:t>
      </w:r>
      <w:r w:rsidRPr="00024BD4">
        <w:rPr>
          <w:rFonts w:ascii="Times New Roman" w:hAnsi="Times New Roman"/>
          <w:position w:val="-2"/>
          <w:sz w:val="22"/>
          <w:szCs w:val="22"/>
        </w:rPr>
        <w:t>, and the various social benefits promoted by GEO through the GEOSS Data-CORE.</w:t>
      </w:r>
      <w:r>
        <w:rPr>
          <w:rFonts w:ascii="Times New Roman" w:hAnsi="Times New Roman"/>
          <w:position w:val="-2"/>
          <w:sz w:val="22"/>
          <w:szCs w:val="22"/>
        </w:rPr>
        <w:t xml:space="preserve"> </w:t>
      </w:r>
      <w:r>
        <w:rPr>
          <w:rFonts w:ascii="Times New Roman" w:hAnsi="Times New Roman"/>
          <w:sz w:val="22"/>
          <w:szCs w:val="22"/>
        </w:rPr>
        <w:t>The public domain may be</w:t>
      </w:r>
      <w:r w:rsidRPr="00024BD4">
        <w:rPr>
          <w:rFonts w:ascii="Times New Roman" w:hAnsi="Times New Roman"/>
          <w:position w:val="-2"/>
          <w:sz w:val="22"/>
          <w:szCs w:val="22"/>
        </w:rPr>
        <w:t xml:space="preserve"> created formally </w:t>
      </w:r>
      <w:r>
        <w:rPr>
          <w:rFonts w:ascii="Times New Roman" w:hAnsi="Times New Roman"/>
          <w:position w:val="-2"/>
          <w:sz w:val="22"/>
          <w:szCs w:val="22"/>
        </w:rPr>
        <w:t xml:space="preserve">by national legislation or regulation that </w:t>
      </w:r>
      <w:r w:rsidRPr="00024BD4">
        <w:rPr>
          <w:rFonts w:ascii="Times New Roman" w:hAnsi="Times New Roman"/>
          <w:position w:val="-2"/>
          <w:sz w:val="22"/>
          <w:szCs w:val="22"/>
        </w:rPr>
        <w:t>express</w:t>
      </w:r>
      <w:r>
        <w:rPr>
          <w:rFonts w:ascii="Times New Roman" w:hAnsi="Times New Roman"/>
          <w:position w:val="-2"/>
          <w:sz w:val="22"/>
          <w:szCs w:val="22"/>
        </w:rPr>
        <w:t>ly</w:t>
      </w:r>
      <w:r w:rsidRPr="00024BD4">
        <w:rPr>
          <w:rFonts w:ascii="Times New Roman" w:hAnsi="Times New Roman"/>
          <w:position w:val="-2"/>
          <w:sz w:val="22"/>
          <w:szCs w:val="22"/>
        </w:rPr>
        <w:t xml:space="preserve"> exclu</w:t>
      </w:r>
      <w:r>
        <w:rPr>
          <w:rFonts w:ascii="Times New Roman" w:hAnsi="Times New Roman"/>
          <w:position w:val="-2"/>
          <w:sz w:val="22"/>
          <w:szCs w:val="22"/>
        </w:rPr>
        <w:t xml:space="preserve">des certain categories of data and information from </w:t>
      </w:r>
      <w:r w:rsidRPr="00024BD4">
        <w:rPr>
          <w:rFonts w:ascii="Times New Roman" w:hAnsi="Times New Roman"/>
          <w:position w:val="-2"/>
          <w:sz w:val="22"/>
          <w:szCs w:val="22"/>
        </w:rPr>
        <w:t xml:space="preserve">copyright or </w:t>
      </w:r>
      <w:r>
        <w:rPr>
          <w:rFonts w:ascii="Times New Roman" w:hAnsi="Times New Roman"/>
          <w:position w:val="-2"/>
          <w:sz w:val="22"/>
          <w:szCs w:val="22"/>
        </w:rPr>
        <w:t xml:space="preserve">other </w:t>
      </w:r>
      <w:r w:rsidRPr="00024BD4">
        <w:rPr>
          <w:rFonts w:ascii="Times New Roman" w:hAnsi="Times New Roman"/>
          <w:position w:val="-2"/>
          <w:sz w:val="22"/>
          <w:szCs w:val="22"/>
        </w:rPr>
        <w:t>exclusive property protection</w:t>
      </w:r>
      <w:r>
        <w:rPr>
          <w:rFonts w:ascii="Times New Roman" w:hAnsi="Times New Roman"/>
          <w:position w:val="-2"/>
          <w:sz w:val="22"/>
          <w:szCs w:val="22"/>
        </w:rPr>
        <w:t>. Public domain</w:t>
      </w:r>
      <w:r w:rsidRPr="00024BD4">
        <w:rPr>
          <w:rFonts w:ascii="Times New Roman" w:hAnsi="Times New Roman"/>
          <w:position w:val="-2"/>
          <w:sz w:val="22"/>
          <w:szCs w:val="22"/>
        </w:rPr>
        <w:t xml:space="preserve"> </w:t>
      </w:r>
      <w:r>
        <w:rPr>
          <w:rFonts w:ascii="Times New Roman" w:hAnsi="Times New Roman"/>
          <w:position w:val="-2"/>
          <w:sz w:val="22"/>
          <w:szCs w:val="22"/>
        </w:rPr>
        <w:t>status may also be attained when t</w:t>
      </w:r>
      <w:r w:rsidRPr="00024BD4">
        <w:rPr>
          <w:rFonts w:ascii="Times New Roman" w:hAnsi="Times New Roman"/>
          <w:position w:val="-2"/>
          <w:sz w:val="22"/>
          <w:szCs w:val="22"/>
        </w:rPr>
        <w:t>he protection of the databases has exceeded the statutory term of protection</w:t>
      </w:r>
      <w:r>
        <w:rPr>
          <w:rFonts w:ascii="Times New Roman" w:hAnsi="Times New Roman"/>
          <w:position w:val="-2"/>
          <w:sz w:val="22"/>
          <w:szCs w:val="22"/>
        </w:rPr>
        <w:t xml:space="preserve"> (which is unlikely for almost all data made available through GEOSS).</w:t>
      </w:r>
      <w:r w:rsidRPr="00F83C72">
        <w:rPr>
          <w:rFonts w:ascii="Times New Roman" w:hAnsi="Times New Roman"/>
          <w:sz w:val="22"/>
          <w:szCs w:val="22"/>
        </w:rPr>
        <w:t xml:space="preserve"> </w:t>
      </w:r>
      <w:r>
        <w:rPr>
          <w:rFonts w:ascii="Times New Roman" w:hAnsi="Times New Roman"/>
          <w:sz w:val="22"/>
          <w:szCs w:val="22"/>
        </w:rPr>
        <w:t xml:space="preserve">Rights under copyright or database protection laws arise automatically unless expressly excluded or waived. Hence, express legislative or regulatory action is needed to make the data excluded or waived from protection, or make the re-use and re-dissemination of data unrestricted. </w:t>
      </w:r>
      <w:r w:rsidRPr="00024BD4">
        <w:rPr>
          <w:rFonts w:ascii="Times New Roman" w:hAnsi="Times New Roman"/>
          <w:position w:val="-2"/>
          <w:sz w:val="22"/>
          <w:szCs w:val="22"/>
        </w:rPr>
        <w:t xml:space="preserve"> </w:t>
      </w:r>
    </w:p>
    <w:p w:rsidR="00383075" w:rsidRDefault="00383075" w:rsidP="00024BD4">
      <w:pPr>
        <w:pStyle w:val="Body"/>
        <w:spacing w:line="360" w:lineRule="auto"/>
        <w:ind w:left="0"/>
        <w:rPr>
          <w:rFonts w:ascii="Times New Roman" w:hAnsi="Times New Roman"/>
          <w:sz w:val="22"/>
          <w:szCs w:val="22"/>
        </w:rPr>
      </w:pPr>
      <w:r>
        <w:rPr>
          <w:rFonts w:ascii="Times New Roman" w:hAnsi="Times New Roman"/>
          <w:sz w:val="22"/>
          <w:szCs w:val="22"/>
        </w:rPr>
        <w:t xml:space="preserve">2.4 </w:t>
      </w:r>
      <w:r w:rsidRPr="00024BD4">
        <w:rPr>
          <w:rFonts w:ascii="Times New Roman" w:hAnsi="Times New Roman"/>
          <w:sz w:val="22"/>
          <w:szCs w:val="22"/>
        </w:rPr>
        <w:t xml:space="preserve">In those cases where </w:t>
      </w:r>
      <w:r>
        <w:rPr>
          <w:rFonts w:ascii="Times New Roman" w:hAnsi="Times New Roman"/>
          <w:sz w:val="22"/>
          <w:szCs w:val="22"/>
        </w:rPr>
        <w:t xml:space="preserve">public domain status cannot be achieved and the databases come under </w:t>
      </w:r>
      <w:r w:rsidRPr="00024BD4">
        <w:rPr>
          <w:rFonts w:ascii="Times New Roman" w:hAnsi="Times New Roman"/>
          <w:sz w:val="22"/>
          <w:szCs w:val="22"/>
        </w:rPr>
        <w:t xml:space="preserve">statutory intellectual property law </w:t>
      </w:r>
      <w:r>
        <w:rPr>
          <w:rFonts w:ascii="Times New Roman" w:hAnsi="Times New Roman"/>
          <w:sz w:val="22"/>
          <w:szCs w:val="22"/>
        </w:rPr>
        <w:t>protection,</w:t>
      </w:r>
      <w:r w:rsidRPr="00024BD4">
        <w:rPr>
          <w:rFonts w:ascii="Times New Roman" w:hAnsi="Times New Roman"/>
          <w:sz w:val="22"/>
          <w:szCs w:val="22"/>
        </w:rPr>
        <w:t xml:space="preserve"> a legally valid common-use license can serve as a private-law equivalent of public domain status</w:t>
      </w:r>
      <w:r>
        <w:rPr>
          <w:rFonts w:ascii="Times New Roman" w:hAnsi="Times New Roman"/>
          <w:sz w:val="22"/>
          <w:szCs w:val="22"/>
        </w:rPr>
        <w:t>. Such a license</w:t>
      </w:r>
      <w:r w:rsidRPr="00024BD4">
        <w:rPr>
          <w:rFonts w:ascii="Times New Roman" w:hAnsi="Times New Roman"/>
          <w:sz w:val="22"/>
          <w:szCs w:val="22"/>
        </w:rPr>
        <w:t xml:space="preserve"> can </w:t>
      </w:r>
      <w:r>
        <w:rPr>
          <w:rFonts w:ascii="Times New Roman" w:hAnsi="Times New Roman"/>
          <w:sz w:val="22"/>
          <w:szCs w:val="22"/>
        </w:rPr>
        <w:t>incorporate</w:t>
      </w:r>
      <w:r w:rsidRPr="00024BD4">
        <w:rPr>
          <w:rFonts w:ascii="Times New Roman" w:hAnsi="Times New Roman"/>
          <w:sz w:val="22"/>
          <w:szCs w:val="22"/>
        </w:rPr>
        <w:t xml:space="preserve"> the registration, attribution, and marginal cost-recovery </w:t>
      </w:r>
      <w:r>
        <w:rPr>
          <w:rFonts w:ascii="Times New Roman" w:hAnsi="Times New Roman"/>
          <w:sz w:val="22"/>
          <w:szCs w:val="22"/>
        </w:rPr>
        <w:t>conditions a</w:t>
      </w:r>
      <w:r w:rsidRPr="00024BD4">
        <w:rPr>
          <w:rFonts w:ascii="Times New Roman" w:hAnsi="Times New Roman"/>
          <w:sz w:val="22"/>
          <w:szCs w:val="22"/>
        </w:rPr>
        <w:t xml:space="preserve">lso allowed by the GEOSS Data-CORE. </w:t>
      </w:r>
    </w:p>
    <w:p w:rsidR="00383075" w:rsidRDefault="00383075" w:rsidP="00024BD4">
      <w:pPr>
        <w:pStyle w:val="Body"/>
        <w:spacing w:line="360" w:lineRule="auto"/>
        <w:ind w:left="0"/>
        <w:rPr>
          <w:rFonts w:ascii="Times New Roman" w:hAnsi="Times New Roman"/>
          <w:sz w:val="22"/>
          <w:szCs w:val="22"/>
        </w:rPr>
      </w:pPr>
      <w:r>
        <w:rPr>
          <w:rFonts w:ascii="Times New Roman" w:hAnsi="Times New Roman"/>
          <w:sz w:val="22"/>
          <w:szCs w:val="22"/>
        </w:rPr>
        <w:t>2.5  The e</w:t>
      </w:r>
      <w:r w:rsidRPr="00024BD4">
        <w:rPr>
          <w:rFonts w:ascii="Times New Roman" w:hAnsi="Times New Roman"/>
          <w:sz w:val="22"/>
          <w:szCs w:val="22"/>
        </w:rPr>
        <w:t xml:space="preserve">ndorsement </w:t>
      </w:r>
      <w:r>
        <w:rPr>
          <w:rFonts w:ascii="Times New Roman" w:hAnsi="Times New Roman"/>
          <w:sz w:val="22"/>
          <w:szCs w:val="22"/>
        </w:rPr>
        <w:t xml:space="preserve">by GEO </w:t>
      </w:r>
      <w:r w:rsidRPr="00024BD4">
        <w:rPr>
          <w:rFonts w:ascii="Times New Roman" w:hAnsi="Times New Roman"/>
          <w:sz w:val="22"/>
          <w:szCs w:val="22"/>
        </w:rPr>
        <w:t xml:space="preserve">of </w:t>
      </w:r>
      <w:r>
        <w:rPr>
          <w:rFonts w:ascii="Times New Roman" w:hAnsi="Times New Roman"/>
          <w:sz w:val="22"/>
          <w:szCs w:val="22"/>
        </w:rPr>
        <w:t xml:space="preserve">either standard, </w:t>
      </w:r>
      <w:r w:rsidRPr="00024BD4">
        <w:rPr>
          <w:rFonts w:ascii="Times New Roman" w:hAnsi="Times New Roman"/>
          <w:sz w:val="22"/>
          <w:szCs w:val="22"/>
        </w:rPr>
        <w:t>accepted licenses</w:t>
      </w:r>
      <w:r>
        <w:rPr>
          <w:rFonts w:ascii="Times New Roman" w:hAnsi="Times New Roman"/>
          <w:sz w:val="22"/>
          <w:szCs w:val="22"/>
        </w:rPr>
        <w:t xml:space="preserve">, or custom common-use licenses that meet all of the </w:t>
      </w:r>
      <w:r w:rsidRPr="00024BD4">
        <w:rPr>
          <w:rFonts w:ascii="Times New Roman" w:hAnsi="Times New Roman"/>
          <w:sz w:val="22"/>
          <w:szCs w:val="22"/>
        </w:rPr>
        <w:t>GEOSS Data-CORE conditions of access and unrestricted re-use</w:t>
      </w:r>
      <w:r>
        <w:rPr>
          <w:rFonts w:ascii="Times New Roman" w:hAnsi="Times New Roman"/>
          <w:sz w:val="22"/>
          <w:szCs w:val="22"/>
        </w:rPr>
        <w:t xml:space="preserve"> of data</w:t>
      </w:r>
      <w:r w:rsidRPr="00024BD4">
        <w:rPr>
          <w:rFonts w:ascii="Times New Roman" w:hAnsi="Times New Roman"/>
          <w:sz w:val="22"/>
          <w:szCs w:val="22"/>
        </w:rPr>
        <w:t xml:space="preserve">, would help ensure </w:t>
      </w:r>
      <w:r>
        <w:rPr>
          <w:rFonts w:ascii="Times New Roman" w:hAnsi="Times New Roman"/>
          <w:sz w:val="22"/>
          <w:szCs w:val="22"/>
        </w:rPr>
        <w:t xml:space="preserve">certainty and </w:t>
      </w:r>
      <w:r w:rsidRPr="00024BD4">
        <w:rPr>
          <w:rFonts w:ascii="Times New Roman" w:hAnsi="Times New Roman"/>
          <w:sz w:val="22"/>
          <w:szCs w:val="22"/>
        </w:rPr>
        <w:t>legal interoperability</w:t>
      </w:r>
      <w:r>
        <w:rPr>
          <w:rFonts w:ascii="Times New Roman" w:hAnsi="Times New Roman"/>
          <w:sz w:val="22"/>
          <w:szCs w:val="22"/>
        </w:rPr>
        <w:t>, and thus support the important GEO societal benefit goals</w:t>
      </w:r>
      <w:r w:rsidRPr="00024BD4">
        <w:rPr>
          <w:rFonts w:ascii="Times New Roman" w:hAnsi="Times New Roman"/>
          <w:sz w:val="22"/>
          <w:szCs w:val="22"/>
        </w:rPr>
        <w:t>.</w:t>
      </w:r>
      <w:r w:rsidRPr="00024BD4" w:rsidDel="00B03492">
        <w:rPr>
          <w:rFonts w:ascii="Times New Roman" w:hAnsi="Times New Roman"/>
          <w:sz w:val="22"/>
          <w:szCs w:val="22"/>
        </w:rPr>
        <w:t xml:space="preserve"> </w:t>
      </w:r>
      <w:r>
        <w:rPr>
          <w:rFonts w:ascii="Times New Roman" w:hAnsi="Times New Roman"/>
          <w:sz w:val="22"/>
          <w:szCs w:val="22"/>
        </w:rPr>
        <w:t>Common-use</w:t>
      </w:r>
      <w:r w:rsidRPr="00024BD4">
        <w:rPr>
          <w:rFonts w:ascii="Times New Roman" w:hAnsi="Times New Roman"/>
          <w:sz w:val="22"/>
          <w:szCs w:val="22"/>
        </w:rPr>
        <w:t xml:space="preserve"> </w:t>
      </w:r>
      <w:r>
        <w:rPr>
          <w:rFonts w:ascii="Times New Roman" w:hAnsi="Times New Roman"/>
          <w:sz w:val="22"/>
          <w:szCs w:val="22"/>
        </w:rPr>
        <w:t xml:space="preserve">licenses </w:t>
      </w:r>
      <w:r w:rsidRPr="00024BD4">
        <w:rPr>
          <w:rFonts w:ascii="Times New Roman" w:hAnsi="Times New Roman"/>
          <w:sz w:val="22"/>
          <w:szCs w:val="22"/>
        </w:rPr>
        <w:t xml:space="preserve">also would help promote the </w:t>
      </w:r>
      <w:r>
        <w:rPr>
          <w:rFonts w:ascii="Times New Roman" w:hAnsi="Times New Roman"/>
          <w:sz w:val="22"/>
          <w:szCs w:val="22"/>
        </w:rPr>
        <w:t xml:space="preserve">contribution and </w:t>
      </w:r>
      <w:r w:rsidRPr="00024BD4">
        <w:rPr>
          <w:rFonts w:ascii="Times New Roman" w:hAnsi="Times New Roman"/>
          <w:sz w:val="22"/>
          <w:szCs w:val="22"/>
        </w:rPr>
        <w:t xml:space="preserve">registration of data within the </w:t>
      </w:r>
      <w:r>
        <w:rPr>
          <w:rFonts w:ascii="Times New Roman" w:hAnsi="Times New Roman"/>
          <w:sz w:val="22"/>
          <w:szCs w:val="22"/>
        </w:rPr>
        <w:t xml:space="preserve">GEOSS </w:t>
      </w:r>
      <w:r w:rsidRPr="00024BD4">
        <w:rPr>
          <w:rFonts w:ascii="Times New Roman" w:hAnsi="Times New Roman"/>
          <w:sz w:val="22"/>
          <w:szCs w:val="22"/>
        </w:rPr>
        <w:t xml:space="preserve">Data-CORE, </w:t>
      </w:r>
      <w:r>
        <w:rPr>
          <w:rFonts w:ascii="Times New Roman" w:hAnsi="Times New Roman"/>
          <w:sz w:val="22"/>
          <w:szCs w:val="22"/>
        </w:rPr>
        <w:t>because</w:t>
      </w:r>
      <w:r w:rsidRPr="00024BD4">
        <w:rPr>
          <w:rFonts w:ascii="Times New Roman" w:hAnsi="Times New Roman"/>
          <w:sz w:val="22"/>
          <w:szCs w:val="22"/>
        </w:rPr>
        <w:t xml:space="preserve"> most jurisdictions do not have a statutory public domain for the data compilations relevant to GEOSS</w:t>
      </w:r>
      <w:r>
        <w:rPr>
          <w:rFonts w:ascii="Times New Roman" w:hAnsi="Times New Roman"/>
          <w:sz w:val="22"/>
          <w:szCs w:val="22"/>
        </w:rPr>
        <w:t>.</w:t>
      </w:r>
    </w:p>
    <w:p w:rsidR="00383075" w:rsidRDefault="00383075" w:rsidP="00720E2B">
      <w:pPr>
        <w:spacing w:line="360" w:lineRule="auto"/>
        <w:rPr>
          <w:rFonts w:ascii="Times" w:hAnsi="Times"/>
          <w:sz w:val="22"/>
          <w:szCs w:val="22"/>
        </w:rPr>
      </w:pPr>
      <w:r>
        <w:rPr>
          <w:rFonts w:ascii="Times" w:hAnsi="Times"/>
          <w:sz w:val="22"/>
          <w:szCs w:val="22"/>
        </w:rPr>
        <w:t>2.6 It is important to note that the attribution term may not be legally enforceable for all data used in all jurisdictions. In those cases that it is not, the attribution term may be seen as a normative or moral requirement.</w:t>
      </w:r>
    </w:p>
    <w:p w:rsidR="00383075" w:rsidRPr="00BC7607" w:rsidRDefault="00383075" w:rsidP="00720E2B">
      <w:pPr>
        <w:pStyle w:val="Body"/>
        <w:spacing w:line="360" w:lineRule="auto"/>
        <w:ind w:left="0"/>
        <w:rPr>
          <w:rFonts w:ascii="Times New Roman" w:hAnsi="Times New Roman"/>
          <w:sz w:val="22"/>
          <w:szCs w:val="22"/>
        </w:rPr>
      </w:pPr>
      <w:r w:rsidRPr="00BC7607">
        <w:rPr>
          <w:rFonts w:ascii="Times New Roman" w:hAnsi="Times New Roman"/>
          <w:sz w:val="22"/>
          <w:szCs w:val="22"/>
        </w:rPr>
        <w:t>2.</w:t>
      </w:r>
      <w:r>
        <w:rPr>
          <w:rFonts w:ascii="Times New Roman" w:hAnsi="Times New Roman"/>
          <w:sz w:val="22"/>
          <w:szCs w:val="22"/>
        </w:rPr>
        <w:t>7</w:t>
      </w:r>
      <w:r w:rsidRPr="00BC7607">
        <w:rPr>
          <w:rFonts w:ascii="Times New Roman" w:hAnsi="Times New Roman"/>
          <w:sz w:val="22"/>
          <w:szCs w:val="22"/>
        </w:rPr>
        <w:t xml:space="preserve"> Data policies regarding full and open data exchange are “soft-law” counterparts to the public law intellectual property statutes and the private law licenses and agreements, but such policies in and of themselves do not have the force of law.</w:t>
      </w:r>
    </w:p>
    <w:p w:rsidR="00383075" w:rsidRPr="00024BD4" w:rsidRDefault="00383075" w:rsidP="00024BD4">
      <w:pPr>
        <w:pStyle w:val="Body"/>
        <w:spacing w:line="360" w:lineRule="auto"/>
        <w:ind w:left="0"/>
        <w:rPr>
          <w:rFonts w:ascii="Times New Roman" w:hAnsi="Times New Roman"/>
          <w:sz w:val="22"/>
          <w:szCs w:val="22"/>
        </w:rPr>
      </w:pPr>
      <w:r>
        <w:rPr>
          <w:rFonts w:ascii="Times New Roman" w:hAnsi="Times New Roman"/>
          <w:sz w:val="22"/>
          <w:szCs w:val="22"/>
        </w:rPr>
        <w:t xml:space="preserve">2.8 </w:t>
      </w:r>
      <w:r w:rsidRPr="00024BD4">
        <w:rPr>
          <w:rFonts w:ascii="Times New Roman" w:hAnsi="Times New Roman"/>
          <w:sz w:val="22"/>
          <w:szCs w:val="22"/>
        </w:rPr>
        <w:t xml:space="preserve">A strategic mix of statutory public domain and common-use licensing by GEO Members and Participating Organizations </w:t>
      </w:r>
      <w:r>
        <w:rPr>
          <w:rFonts w:ascii="Times New Roman" w:hAnsi="Times New Roman"/>
          <w:sz w:val="22"/>
          <w:szCs w:val="22"/>
        </w:rPr>
        <w:t>can fulfill</w:t>
      </w:r>
      <w:r w:rsidRPr="00024BD4">
        <w:rPr>
          <w:rFonts w:ascii="Times New Roman" w:hAnsi="Times New Roman"/>
          <w:sz w:val="22"/>
          <w:szCs w:val="22"/>
        </w:rPr>
        <w:t xml:space="preserve"> the requirements for data in the GEOSS Data-CORE for both data providers and users, and</w:t>
      </w:r>
      <w:r>
        <w:rPr>
          <w:rFonts w:ascii="Times New Roman" w:hAnsi="Times New Roman"/>
          <w:sz w:val="22"/>
          <w:szCs w:val="22"/>
        </w:rPr>
        <w:t xml:space="preserve"> </w:t>
      </w:r>
      <w:r w:rsidRPr="00024BD4">
        <w:rPr>
          <w:rFonts w:ascii="Times New Roman" w:hAnsi="Times New Roman"/>
          <w:sz w:val="22"/>
          <w:szCs w:val="22"/>
        </w:rPr>
        <w:t>for GEO toward achieving one of its most important goals.</w:t>
      </w:r>
    </w:p>
    <w:p w:rsidR="00383075" w:rsidRPr="00024BD4" w:rsidRDefault="00383075" w:rsidP="00024BD4">
      <w:pPr>
        <w:rPr>
          <w:b/>
          <w:sz w:val="22"/>
          <w:szCs w:val="22"/>
        </w:rPr>
      </w:pPr>
    </w:p>
    <w:p w:rsidR="00383075" w:rsidRPr="00024BD4" w:rsidRDefault="00383075" w:rsidP="00024BD4">
      <w:pPr>
        <w:spacing w:line="360" w:lineRule="auto"/>
        <w:rPr>
          <w:b/>
          <w:sz w:val="22"/>
          <w:szCs w:val="22"/>
        </w:rPr>
      </w:pPr>
      <w:r>
        <w:rPr>
          <w:b/>
          <w:sz w:val="22"/>
          <w:szCs w:val="22"/>
        </w:rPr>
        <w:t>3</w:t>
      </w:r>
      <w:r w:rsidRPr="00024BD4">
        <w:rPr>
          <w:b/>
          <w:sz w:val="22"/>
          <w:szCs w:val="22"/>
        </w:rPr>
        <w:t>.</w:t>
      </w:r>
      <w:r>
        <w:rPr>
          <w:b/>
          <w:sz w:val="22"/>
          <w:szCs w:val="22"/>
        </w:rPr>
        <w:t xml:space="preserve"> </w:t>
      </w:r>
      <w:r w:rsidRPr="00024BD4">
        <w:rPr>
          <w:b/>
          <w:sz w:val="22"/>
          <w:szCs w:val="22"/>
        </w:rPr>
        <w:t xml:space="preserve"> Recommendations for the 2011 GEO Plenary</w:t>
      </w:r>
    </w:p>
    <w:p w:rsidR="00383075" w:rsidRPr="00BC7607" w:rsidRDefault="00383075" w:rsidP="008D5D36">
      <w:pPr>
        <w:pStyle w:val="Body"/>
        <w:tabs>
          <w:tab w:val="left" w:pos="630"/>
        </w:tabs>
        <w:spacing w:line="360" w:lineRule="auto"/>
        <w:ind w:left="0"/>
        <w:rPr>
          <w:rFonts w:ascii="Times New Roman" w:hAnsi="Times New Roman"/>
          <w:sz w:val="22"/>
          <w:szCs w:val="22"/>
        </w:rPr>
      </w:pPr>
      <w:r>
        <w:rPr>
          <w:rFonts w:ascii="Times New Roman" w:hAnsi="Times New Roman"/>
          <w:sz w:val="22"/>
          <w:szCs w:val="22"/>
        </w:rPr>
        <w:t>3.1 T</w:t>
      </w:r>
      <w:r w:rsidRPr="008D5D36">
        <w:rPr>
          <w:rFonts w:ascii="Times New Roman" w:hAnsi="Times New Roman"/>
          <w:sz w:val="22"/>
          <w:szCs w:val="22"/>
        </w:rPr>
        <w:t>he GEOSS Data-CORE’s terms and conditions</w:t>
      </w:r>
      <w:r w:rsidRPr="008D5D36" w:rsidDel="008D5D36">
        <w:rPr>
          <w:rFonts w:ascii="Times New Roman" w:hAnsi="Times New Roman"/>
          <w:sz w:val="22"/>
          <w:szCs w:val="22"/>
        </w:rPr>
        <w:t xml:space="preserve"> </w:t>
      </w:r>
      <w:r w:rsidRPr="00BC7607">
        <w:rPr>
          <w:rFonts w:ascii="Times New Roman" w:hAnsi="Times New Roman"/>
          <w:sz w:val="22"/>
          <w:szCs w:val="22"/>
        </w:rPr>
        <w:t xml:space="preserve">can best be achieved through a </w:t>
      </w:r>
      <w:r>
        <w:rPr>
          <w:rFonts w:ascii="Times New Roman" w:hAnsi="Times New Roman"/>
          <w:sz w:val="22"/>
          <w:szCs w:val="22"/>
        </w:rPr>
        <w:t xml:space="preserve">strategic mix of </w:t>
      </w:r>
      <w:r w:rsidRPr="00BC7607">
        <w:rPr>
          <w:rFonts w:ascii="Times New Roman" w:hAnsi="Times New Roman"/>
          <w:sz w:val="22"/>
          <w:szCs w:val="22"/>
        </w:rPr>
        <w:t xml:space="preserve">statutory public domain or a common-use license. </w:t>
      </w:r>
      <w:r>
        <w:rPr>
          <w:rFonts w:ascii="Times New Roman" w:hAnsi="Times New Roman"/>
          <w:sz w:val="22"/>
          <w:szCs w:val="22"/>
        </w:rPr>
        <w:t>If a statutory public domain is not in place, the GEO Members and Affiliated Organizations should consider adopting a common-use</w:t>
      </w:r>
      <w:r w:rsidRPr="00BC7607">
        <w:rPr>
          <w:rFonts w:ascii="Times New Roman" w:hAnsi="Times New Roman"/>
          <w:sz w:val="22"/>
          <w:szCs w:val="22"/>
        </w:rPr>
        <w:t xml:space="preserve"> data license </w:t>
      </w:r>
      <w:r>
        <w:rPr>
          <w:rFonts w:ascii="Times New Roman" w:hAnsi="Times New Roman"/>
          <w:sz w:val="22"/>
          <w:szCs w:val="22"/>
        </w:rPr>
        <w:t>with</w:t>
      </w:r>
      <w:r w:rsidRPr="00BC7607">
        <w:rPr>
          <w:rFonts w:ascii="Times New Roman" w:hAnsi="Times New Roman"/>
          <w:sz w:val="22"/>
          <w:szCs w:val="22"/>
        </w:rPr>
        <w:t xml:space="preserve"> the following characteristics:</w:t>
      </w:r>
    </w:p>
    <w:p w:rsidR="00383075" w:rsidRPr="00024BD4" w:rsidRDefault="00383075" w:rsidP="00024BD4">
      <w:pPr>
        <w:pStyle w:val="Body"/>
        <w:tabs>
          <w:tab w:val="left" w:pos="630"/>
        </w:tabs>
        <w:spacing w:line="360" w:lineRule="auto"/>
        <w:ind w:left="360"/>
        <w:rPr>
          <w:rFonts w:ascii="Times New Roman" w:hAnsi="Times New Roman"/>
          <w:b/>
          <w:i/>
          <w:sz w:val="22"/>
          <w:szCs w:val="22"/>
        </w:rPr>
      </w:pPr>
    </w:p>
    <w:p w:rsidR="00383075" w:rsidRPr="00FB26C7" w:rsidRDefault="00383075" w:rsidP="00024BD4">
      <w:pPr>
        <w:pStyle w:val="BodyBullet"/>
        <w:numPr>
          <w:ilvl w:val="0"/>
          <w:numId w:val="32"/>
          <w:numberingChange w:id="0" w:author="Unknown" w:date="2011-06-08T16:07:00Z" w:original="%1:1:4:."/>
        </w:numPr>
        <w:spacing w:line="360" w:lineRule="auto"/>
        <w:rPr>
          <w:rFonts w:ascii="Times New Roman" w:hAnsi="Times New Roman"/>
          <w:i/>
          <w:position w:val="-2"/>
          <w:sz w:val="22"/>
          <w:szCs w:val="22"/>
        </w:rPr>
      </w:pPr>
      <w:r w:rsidRPr="00FB26C7">
        <w:rPr>
          <w:rFonts w:ascii="Times New Roman" w:hAnsi="Times New Roman"/>
          <w:i/>
          <w:position w:val="-2"/>
          <w:sz w:val="22"/>
          <w:szCs w:val="22"/>
        </w:rPr>
        <w:t>The  license must be compatible with the GEOSS Data-CORE principles as established in the 2010 GEOSS Action Plan</w:t>
      </w:r>
      <w:r>
        <w:rPr>
          <w:rFonts w:ascii="Times New Roman" w:hAnsi="Times New Roman"/>
          <w:i/>
          <w:position w:val="-2"/>
          <w:sz w:val="22"/>
          <w:szCs w:val="22"/>
        </w:rPr>
        <w:t>;</w:t>
      </w:r>
      <w:r w:rsidRPr="00FB26C7">
        <w:rPr>
          <w:rFonts w:ascii="Times New Roman" w:hAnsi="Times New Roman"/>
          <w:i/>
          <w:position w:val="-2"/>
          <w:sz w:val="22"/>
          <w:szCs w:val="22"/>
        </w:rPr>
        <w:t xml:space="preserve"> </w:t>
      </w:r>
      <w:r>
        <w:rPr>
          <w:rFonts w:ascii="Times New Roman" w:hAnsi="Times New Roman"/>
          <w:i/>
          <w:position w:val="-2"/>
          <w:sz w:val="22"/>
          <w:szCs w:val="22"/>
        </w:rPr>
        <w:t>specifically</w:t>
      </w:r>
      <w:r w:rsidRPr="00FB26C7">
        <w:rPr>
          <w:rFonts w:ascii="Times New Roman" w:hAnsi="Times New Roman"/>
          <w:i/>
          <w:position w:val="-2"/>
          <w:sz w:val="22"/>
          <w:szCs w:val="22"/>
        </w:rPr>
        <w:t>:</w:t>
      </w:r>
    </w:p>
    <w:p w:rsidR="00383075" w:rsidRPr="00FB26C7" w:rsidRDefault="00383075" w:rsidP="00331668">
      <w:pPr>
        <w:pStyle w:val="Body"/>
        <w:spacing w:line="360" w:lineRule="auto"/>
        <w:ind w:left="360" w:firstLine="360"/>
        <w:rPr>
          <w:rFonts w:ascii="Times New Roman" w:hAnsi="Times New Roman"/>
          <w:bCs/>
          <w:i/>
          <w:iCs/>
          <w:sz w:val="22"/>
          <w:szCs w:val="22"/>
        </w:rPr>
      </w:pPr>
      <w:r w:rsidRPr="00FB26C7">
        <w:rPr>
          <w:rFonts w:ascii="Times New Roman" w:hAnsi="Times New Roman"/>
          <w:bCs/>
          <w:i/>
          <w:iCs/>
          <w:sz w:val="22"/>
          <w:szCs w:val="22"/>
        </w:rPr>
        <w:t>- The data are free of restrictions on re-use;</w:t>
      </w:r>
    </w:p>
    <w:p w:rsidR="00383075" w:rsidRPr="00FB26C7" w:rsidRDefault="00383075" w:rsidP="00331668">
      <w:pPr>
        <w:pStyle w:val="Body"/>
        <w:spacing w:line="360" w:lineRule="auto"/>
        <w:ind w:left="360" w:firstLine="360"/>
        <w:rPr>
          <w:rFonts w:ascii="Times New Roman" w:hAnsi="Times New Roman"/>
          <w:bCs/>
          <w:i/>
          <w:iCs/>
          <w:sz w:val="22"/>
          <w:szCs w:val="22"/>
        </w:rPr>
      </w:pPr>
      <w:r w:rsidRPr="00FB26C7">
        <w:rPr>
          <w:rFonts w:ascii="Times New Roman" w:hAnsi="Times New Roman"/>
          <w:bCs/>
          <w:i/>
          <w:iCs/>
          <w:sz w:val="22"/>
          <w:szCs w:val="22"/>
        </w:rPr>
        <w:t>- User registration or login to access or use the data is permitted;</w:t>
      </w:r>
    </w:p>
    <w:p w:rsidR="00383075" w:rsidRPr="00FB26C7" w:rsidRDefault="00383075" w:rsidP="00331668">
      <w:pPr>
        <w:pStyle w:val="Body"/>
        <w:spacing w:line="360" w:lineRule="auto"/>
        <w:ind w:left="360" w:firstLine="360"/>
        <w:rPr>
          <w:rFonts w:ascii="Times New Roman" w:hAnsi="Times New Roman"/>
          <w:bCs/>
          <w:i/>
          <w:iCs/>
          <w:sz w:val="22"/>
          <w:szCs w:val="22"/>
        </w:rPr>
      </w:pPr>
      <w:r w:rsidRPr="00FB26C7">
        <w:rPr>
          <w:rFonts w:ascii="Times New Roman" w:hAnsi="Times New Roman"/>
          <w:bCs/>
          <w:i/>
          <w:iCs/>
          <w:sz w:val="22"/>
          <w:szCs w:val="22"/>
        </w:rPr>
        <w:t>- Attribution of the data provider is permitted as a condition of use; and</w:t>
      </w:r>
    </w:p>
    <w:p w:rsidR="00383075" w:rsidRPr="00FB26C7" w:rsidRDefault="00383075" w:rsidP="00331668">
      <w:pPr>
        <w:pStyle w:val="BodyBullet"/>
        <w:spacing w:line="360" w:lineRule="auto"/>
        <w:ind w:left="720"/>
        <w:rPr>
          <w:rFonts w:ascii="Times New Roman" w:hAnsi="Times New Roman"/>
          <w:i/>
          <w:position w:val="-2"/>
          <w:sz w:val="22"/>
          <w:szCs w:val="22"/>
        </w:rPr>
      </w:pPr>
      <w:r w:rsidRPr="00FB26C7">
        <w:rPr>
          <w:rFonts w:ascii="Times New Roman" w:hAnsi="Times New Roman"/>
          <w:bCs/>
          <w:i/>
          <w:iCs/>
          <w:sz w:val="22"/>
          <w:szCs w:val="22"/>
        </w:rPr>
        <w:t>- Marginal cost recovery charges (i.e., not greater than the cost of reproduction and distribution) are permitted.</w:t>
      </w:r>
    </w:p>
    <w:p w:rsidR="00383075" w:rsidRPr="00FB26C7" w:rsidRDefault="00383075" w:rsidP="00024BD4">
      <w:pPr>
        <w:pStyle w:val="BodyBullet"/>
        <w:numPr>
          <w:ilvl w:val="0"/>
          <w:numId w:val="32"/>
          <w:numberingChange w:id="1" w:author="Unknown" w:date="2011-06-08T16:07:00Z" w:original="%1:2:4:."/>
        </w:numPr>
        <w:spacing w:line="360" w:lineRule="auto"/>
        <w:rPr>
          <w:rFonts w:ascii="Times New Roman" w:hAnsi="Times New Roman"/>
          <w:i/>
          <w:position w:val="-2"/>
          <w:sz w:val="22"/>
          <w:szCs w:val="22"/>
        </w:rPr>
      </w:pPr>
      <w:r w:rsidRPr="00FB26C7">
        <w:rPr>
          <w:rFonts w:ascii="Times New Roman" w:hAnsi="Times New Roman"/>
          <w:i/>
          <w:sz w:val="22"/>
          <w:szCs w:val="22"/>
        </w:rPr>
        <w:t xml:space="preserve">The license </w:t>
      </w:r>
      <w:r>
        <w:rPr>
          <w:rFonts w:ascii="Times New Roman" w:hAnsi="Times New Roman"/>
          <w:i/>
          <w:sz w:val="22"/>
          <w:szCs w:val="22"/>
        </w:rPr>
        <w:t>should</w:t>
      </w:r>
      <w:r w:rsidRPr="00FB26C7">
        <w:rPr>
          <w:rFonts w:ascii="Times New Roman" w:hAnsi="Times New Roman"/>
          <w:i/>
          <w:sz w:val="22"/>
          <w:szCs w:val="22"/>
        </w:rPr>
        <w:t xml:space="preserve"> be valid under the laws of </w:t>
      </w:r>
      <w:r>
        <w:rPr>
          <w:rFonts w:ascii="Times New Roman" w:hAnsi="Times New Roman"/>
          <w:i/>
          <w:sz w:val="22"/>
          <w:szCs w:val="22"/>
        </w:rPr>
        <w:t xml:space="preserve">as many </w:t>
      </w:r>
      <w:r w:rsidRPr="00FB26C7">
        <w:rPr>
          <w:rFonts w:ascii="Times New Roman" w:hAnsi="Times New Roman"/>
          <w:i/>
          <w:sz w:val="22"/>
          <w:szCs w:val="22"/>
        </w:rPr>
        <w:t>different jurisdictions</w:t>
      </w:r>
      <w:r>
        <w:rPr>
          <w:rFonts w:ascii="Times New Roman" w:hAnsi="Times New Roman"/>
          <w:i/>
          <w:sz w:val="22"/>
          <w:szCs w:val="22"/>
        </w:rPr>
        <w:t xml:space="preserve"> as possible</w:t>
      </w:r>
      <w:r w:rsidRPr="00FB26C7">
        <w:rPr>
          <w:rFonts w:ascii="Times New Roman" w:hAnsi="Times New Roman"/>
          <w:i/>
          <w:sz w:val="22"/>
          <w:szCs w:val="22"/>
        </w:rPr>
        <w:t xml:space="preserve">. </w:t>
      </w:r>
    </w:p>
    <w:p w:rsidR="00383075" w:rsidRPr="00FB26C7" w:rsidRDefault="00383075" w:rsidP="00024BD4">
      <w:pPr>
        <w:pStyle w:val="BodyBullet"/>
        <w:numPr>
          <w:ilvl w:val="0"/>
          <w:numId w:val="32"/>
          <w:numberingChange w:id="2" w:author="Unknown" w:date="2011-06-08T16:07:00Z" w:original="%1:3:4:."/>
        </w:numPr>
        <w:spacing w:line="360" w:lineRule="auto"/>
        <w:rPr>
          <w:rFonts w:ascii="Times New Roman" w:hAnsi="Times New Roman"/>
          <w:i/>
          <w:position w:val="-2"/>
          <w:sz w:val="22"/>
          <w:szCs w:val="22"/>
        </w:rPr>
      </w:pPr>
      <w:r w:rsidRPr="00FB26C7">
        <w:rPr>
          <w:rFonts w:ascii="Times New Roman" w:hAnsi="Times New Roman"/>
          <w:i/>
          <w:sz w:val="22"/>
          <w:szCs w:val="22"/>
        </w:rPr>
        <w:t xml:space="preserve">The license should be clear and simple enough not be confusing to the data provider or user. </w:t>
      </w:r>
    </w:p>
    <w:p w:rsidR="00383075" w:rsidRPr="00FB26C7" w:rsidRDefault="00383075" w:rsidP="00024BD4">
      <w:pPr>
        <w:pStyle w:val="BodyBullet"/>
        <w:numPr>
          <w:ilvl w:val="0"/>
          <w:numId w:val="32"/>
          <w:numberingChange w:id="3" w:author="Unknown" w:date="2011-06-08T16:07:00Z" w:original="%1:4:4:."/>
        </w:numPr>
        <w:spacing w:line="360" w:lineRule="auto"/>
        <w:rPr>
          <w:rFonts w:ascii="Times New Roman" w:hAnsi="Times New Roman"/>
          <w:i/>
          <w:position w:val="-2"/>
          <w:sz w:val="22"/>
          <w:szCs w:val="22"/>
        </w:rPr>
      </w:pPr>
      <w:r w:rsidRPr="00FB26C7">
        <w:rPr>
          <w:rFonts w:ascii="Times New Roman" w:hAnsi="Times New Roman"/>
          <w:i/>
          <w:sz w:val="22"/>
          <w:szCs w:val="22"/>
        </w:rPr>
        <w:t xml:space="preserve">The license should be easy to recognize and find. </w:t>
      </w:r>
    </w:p>
    <w:p w:rsidR="00383075" w:rsidRPr="00FB26C7" w:rsidRDefault="00383075" w:rsidP="00024BD4">
      <w:pPr>
        <w:pStyle w:val="BodyBullet"/>
        <w:numPr>
          <w:ilvl w:val="0"/>
          <w:numId w:val="32"/>
          <w:numberingChange w:id="4" w:author="Unknown" w:date="2011-06-08T16:07:00Z" w:original="%1:5:4:."/>
        </w:numPr>
        <w:spacing w:line="360" w:lineRule="auto"/>
        <w:rPr>
          <w:rFonts w:ascii="Times New Roman" w:hAnsi="Times New Roman"/>
          <w:i/>
          <w:position w:val="-2"/>
          <w:sz w:val="22"/>
          <w:szCs w:val="22"/>
        </w:rPr>
      </w:pPr>
      <w:r w:rsidRPr="00FB26C7">
        <w:rPr>
          <w:rFonts w:ascii="Times New Roman" w:hAnsi="Times New Roman"/>
          <w:i/>
          <w:sz w:val="22"/>
          <w:szCs w:val="22"/>
        </w:rPr>
        <w:t>The license should be embeddable in the data as machine readable metadata</w:t>
      </w:r>
      <w:r>
        <w:rPr>
          <w:rFonts w:ascii="Times New Roman" w:hAnsi="Times New Roman"/>
          <w:i/>
          <w:sz w:val="22"/>
          <w:szCs w:val="22"/>
        </w:rPr>
        <w:t xml:space="preserve"> whenever possible.</w:t>
      </w:r>
      <w:r w:rsidRPr="00FB26C7">
        <w:rPr>
          <w:rFonts w:ascii="Times New Roman" w:hAnsi="Times New Roman"/>
          <w:i/>
          <w:sz w:val="22"/>
          <w:szCs w:val="22"/>
        </w:rPr>
        <w:t xml:space="preserve"> </w:t>
      </w:r>
    </w:p>
    <w:p w:rsidR="00383075" w:rsidRPr="00FB26C7" w:rsidRDefault="00383075" w:rsidP="00024BD4">
      <w:pPr>
        <w:pStyle w:val="BodyBullet"/>
        <w:numPr>
          <w:ilvl w:val="0"/>
          <w:numId w:val="32"/>
          <w:numberingChange w:id="5" w:author="Unknown" w:date="2011-06-08T16:07:00Z" w:original="%1:6:4:."/>
        </w:numPr>
        <w:spacing w:line="360" w:lineRule="auto"/>
        <w:rPr>
          <w:rFonts w:ascii="Times New Roman" w:hAnsi="Times New Roman"/>
          <w:i/>
          <w:position w:val="-2"/>
          <w:sz w:val="22"/>
          <w:szCs w:val="22"/>
        </w:rPr>
      </w:pPr>
      <w:r w:rsidRPr="00FB26C7">
        <w:rPr>
          <w:rFonts w:ascii="Times New Roman" w:hAnsi="Times New Roman"/>
          <w:i/>
          <w:sz w:val="22"/>
          <w:szCs w:val="22"/>
        </w:rPr>
        <w:t xml:space="preserve">The license should be available in different languages, at a minimum in the language(s) of the country making the data available, </w:t>
      </w:r>
      <w:r>
        <w:rPr>
          <w:rFonts w:ascii="Times New Roman" w:hAnsi="Times New Roman"/>
          <w:i/>
          <w:sz w:val="22"/>
          <w:szCs w:val="22"/>
        </w:rPr>
        <w:t>as well as</w:t>
      </w:r>
      <w:r w:rsidRPr="00FB26C7">
        <w:rPr>
          <w:rFonts w:ascii="Times New Roman" w:hAnsi="Times New Roman"/>
          <w:i/>
          <w:sz w:val="22"/>
          <w:szCs w:val="22"/>
        </w:rPr>
        <w:t xml:space="preserve"> in English. </w:t>
      </w:r>
    </w:p>
    <w:p w:rsidR="00383075" w:rsidRPr="00FB26C7" w:rsidRDefault="00383075" w:rsidP="00024BD4">
      <w:pPr>
        <w:pStyle w:val="BodyBullet"/>
        <w:numPr>
          <w:ilvl w:val="0"/>
          <w:numId w:val="32"/>
          <w:numberingChange w:id="6" w:author="Unknown" w:date="2011-06-08T16:07:00Z" w:original="%1:7:4:."/>
        </w:numPr>
        <w:spacing w:line="360" w:lineRule="auto"/>
        <w:rPr>
          <w:rFonts w:ascii="Times New Roman" w:hAnsi="Times New Roman"/>
          <w:i/>
          <w:position w:val="-2"/>
          <w:sz w:val="22"/>
          <w:szCs w:val="22"/>
        </w:rPr>
      </w:pPr>
      <w:r w:rsidRPr="00FB26C7">
        <w:rPr>
          <w:rFonts w:ascii="Times New Roman" w:hAnsi="Times New Roman"/>
          <w:i/>
          <w:position w:val="-2"/>
          <w:sz w:val="22"/>
          <w:szCs w:val="22"/>
        </w:rPr>
        <w:t xml:space="preserve">The license may have any other terms and conditions, such as </w:t>
      </w:r>
      <w:r>
        <w:rPr>
          <w:rFonts w:ascii="Times New Roman" w:hAnsi="Times New Roman"/>
          <w:i/>
          <w:position w:val="-2"/>
          <w:sz w:val="22"/>
          <w:szCs w:val="22"/>
        </w:rPr>
        <w:t xml:space="preserve">a disclaimer of </w:t>
      </w:r>
      <w:r w:rsidRPr="00FB26C7">
        <w:rPr>
          <w:rFonts w:ascii="Times New Roman" w:hAnsi="Times New Roman"/>
          <w:i/>
          <w:position w:val="-2"/>
          <w:sz w:val="22"/>
          <w:szCs w:val="22"/>
        </w:rPr>
        <w:t>warranty and liability, that do not restrict the user or conflict with any of the terms and conditions summarized in a-f above.</w:t>
      </w:r>
    </w:p>
    <w:p w:rsidR="00383075" w:rsidRPr="00FB26C7" w:rsidRDefault="00383075" w:rsidP="00024BD4">
      <w:pPr>
        <w:numPr>
          <w:ilvl w:val="0"/>
          <w:numId w:val="32"/>
          <w:numberingChange w:id="7" w:author="Unknown" w:date="2011-06-08T16:07:00Z" w:original="%1:8:4:."/>
        </w:numPr>
        <w:spacing w:line="360" w:lineRule="auto"/>
        <w:rPr>
          <w:i/>
          <w:sz w:val="22"/>
          <w:szCs w:val="22"/>
        </w:rPr>
      </w:pPr>
      <w:r w:rsidRPr="00FB26C7">
        <w:rPr>
          <w:i/>
          <w:sz w:val="22"/>
          <w:szCs w:val="22"/>
        </w:rPr>
        <w:t>Finally, and perhaps most important, the data and the applicable license must be kept under the legal control of the data providers</w:t>
      </w:r>
      <w:r>
        <w:rPr>
          <w:i/>
          <w:sz w:val="22"/>
          <w:szCs w:val="22"/>
        </w:rPr>
        <w:t>,</w:t>
      </w:r>
      <w:r w:rsidRPr="00FB26C7">
        <w:rPr>
          <w:i/>
          <w:sz w:val="22"/>
          <w:szCs w:val="22"/>
        </w:rPr>
        <w:t xml:space="preserve"> and not GEO or GEOSS</w:t>
      </w:r>
      <w:r>
        <w:rPr>
          <w:i/>
          <w:sz w:val="22"/>
          <w:szCs w:val="22"/>
        </w:rPr>
        <w:t xml:space="preserve"> </w:t>
      </w:r>
      <w:r w:rsidRPr="00FB26C7">
        <w:rPr>
          <w:i/>
          <w:sz w:val="22"/>
          <w:szCs w:val="22"/>
        </w:rPr>
        <w:t>.</w:t>
      </w:r>
    </w:p>
    <w:p w:rsidR="00383075" w:rsidRPr="00FB26C7" w:rsidRDefault="00383075" w:rsidP="00024BD4">
      <w:pPr>
        <w:spacing w:line="360" w:lineRule="auto"/>
        <w:rPr>
          <w:sz w:val="22"/>
          <w:szCs w:val="22"/>
        </w:rPr>
      </w:pPr>
    </w:p>
    <w:p w:rsidR="00383075" w:rsidRPr="00024BD4" w:rsidRDefault="00383075" w:rsidP="00024BD4">
      <w:pPr>
        <w:spacing w:line="360" w:lineRule="auto"/>
        <w:rPr>
          <w:sz w:val="22"/>
          <w:szCs w:val="22"/>
        </w:rPr>
      </w:pPr>
      <w:r>
        <w:rPr>
          <w:sz w:val="22"/>
          <w:szCs w:val="22"/>
        </w:rPr>
        <w:t xml:space="preserve">3.2 </w:t>
      </w:r>
      <w:r w:rsidRPr="00024BD4">
        <w:rPr>
          <w:sz w:val="22"/>
          <w:szCs w:val="22"/>
        </w:rPr>
        <w:t xml:space="preserve">Based on these characteristics, the GEO Members and Participating Organizations </w:t>
      </w:r>
      <w:r>
        <w:rPr>
          <w:sz w:val="22"/>
          <w:szCs w:val="22"/>
        </w:rPr>
        <w:t>should consider adopting</w:t>
      </w:r>
      <w:r w:rsidRPr="00024BD4">
        <w:rPr>
          <w:sz w:val="22"/>
          <w:szCs w:val="22"/>
        </w:rPr>
        <w:t xml:space="preserve"> the following existing, standard common-use licenses:</w:t>
      </w:r>
    </w:p>
    <w:p w:rsidR="00383075" w:rsidRPr="00024BD4" w:rsidRDefault="00383075" w:rsidP="004A3D1F">
      <w:pPr>
        <w:pStyle w:val="Body"/>
        <w:spacing w:before="0" w:after="0" w:line="360" w:lineRule="auto"/>
        <w:ind w:left="0"/>
        <w:rPr>
          <w:rFonts w:ascii="Times" w:hAnsi="Times"/>
          <w:b/>
          <w:sz w:val="22"/>
          <w:szCs w:val="22"/>
        </w:rPr>
      </w:pPr>
    </w:p>
    <w:p w:rsidR="00383075" w:rsidRDefault="00383075" w:rsidP="00EE22DC">
      <w:pPr>
        <w:pStyle w:val="Body"/>
        <w:spacing w:before="0" w:after="0" w:line="360" w:lineRule="auto"/>
        <w:ind w:left="0"/>
        <w:rPr>
          <w:rFonts w:ascii="Times" w:hAnsi="Times"/>
          <w:b/>
          <w:sz w:val="22"/>
          <w:szCs w:val="22"/>
        </w:rPr>
      </w:pPr>
      <w:r w:rsidRPr="00F809EF">
        <w:rPr>
          <w:rFonts w:ascii="Times" w:hAnsi="Times"/>
          <w:b/>
          <w:sz w:val="22"/>
          <w:szCs w:val="22"/>
        </w:rPr>
        <w:t>a. Creative Commons Public Domain Mark</w:t>
      </w:r>
      <w:r>
        <w:rPr>
          <w:rFonts w:ascii="Times" w:hAnsi="Times"/>
          <w:b/>
          <w:sz w:val="22"/>
          <w:szCs w:val="22"/>
        </w:rPr>
        <w:t xml:space="preserve">.  </w:t>
      </w:r>
      <w:r w:rsidRPr="00024BD4">
        <w:rPr>
          <w:rFonts w:ascii="Times" w:hAnsi="Times"/>
          <w:sz w:val="22"/>
          <w:szCs w:val="22"/>
        </w:rPr>
        <w:t xml:space="preserve">The CC Public Domain Mark is used to mark </w:t>
      </w:r>
      <w:r>
        <w:rPr>
          <w:rFonts w:ascii="Times" w:hAnsi="Times"/>
          <w:sz w:val="22"/>
          <w:szCs w:val="22"/>
        </w:rPr>
        <w:t xml:space="preserve">and identify </w:t>
      </w:r>
      <w:r w:rsidRPr="00024BD4">
        <w:rPr>
          <w:rFonts w:ascii="Times" w:hAnsi="Times"/>
          <w:sz w:val="22"/>
          <w:szCs w:val="22"/>
        </w:rPr>
        <w:t xml:space="preserve">data sets already in the public domain, enabling their more ready identification in global web searches. </w:t>
      </w:r>
      <w:r>
        <w:rPr>
          <w:rFonts w:ascii="Times" w:hAnsi="Times"/>
          <w:sz w:val="22"/>
          <w:szCs w:val="22"/>
        </w:rPr>
        <w:t>For a full description, s</w:t>
      </w:r>
      <w:r w:rsidRPr="00024BD4">
        <w:rPr>
          <w:rFonts w:ascii="Times" w:hAnsi="Times"/>
          <w:sz w:val="22"/>
          <w:szCs w:val="22"/>
        </w:rPr>
        <w:t xml:space="preserve">ee </w:t>
      </w:r>
      <w:hyperlink r:id="rId7" w:history="1">
        <w:r w:rsidRPr="00024BD4">
          <w:rPr>
            <w:rStyle w:val="Hyperlink"/>
            <w:rFonts w:ascii="Times" w:hAnsi="Times"/>
            <w:sz w:val="22"/>
            <w:szCs w:val="22"/>
          </w:rPr>
          <w:t>http://creativecommons.org/choose/mark/</w:t>
        </w:r>
      </w:hyperlink>
      <w:r w:rsidRPr="00024BD4">
        <w:rPr>
          <w:rFonts w:ascii="Times" w:hAnsi="Times"/>
          <w:sz w:val="22"/>
          <w:szCs w:val="22"/>
        </w:rPr>
        <w:t>.</w:t>
      </w:r>
    </w:p>
    <w:p w:rsidR="00383075" w:rsidRDefault="00383075" w:rsidP="00EE22DC">
      <w:pPr>
        <w:pStyle w:val="Body"/>
        <w:spacing w:before="0" w:after="0" w:line="360" w:lineRule="auto"/>
        <w:ind w:left="0"/>
        <w:rPr>
          <w:rFonts w:ascii="Times" w:hAnsi="Times"/>
          <w:sz w:val="22"/>
          <w:szCs w:val="22"/>
        </w:rPr>
      </w:pPr>
      <w:r w:rsidRPr="00F809EF">
        <w:rPr>
          <w:rFonts w:ascii="Times" w:hAnsi="Times"/>
          <w:b/>
          <w:sz w:val="22"/>
          <w:szCs w:val="22"/>
        </w:rPr>
        <w:t>b. Creative Commons Public Domain Dedication (CC0)</w:t>
      </w:r>
      <w:r>
        <w:rPr>
          <w:rFonts w:ascii="Times" w:hAnsi="Times"/>
          <w:b/>
          <w:sz w:val="22"/>
          <w:szCs w:val="22"/>
        </w:rPr>
        <w:t xml:space="preserve">.  </w:t>
      </w:r>
      <w:r w:rsidRPr="00024BD4">
        <w:rPr>
          <w:rFonts w:ascii="Times" w:hAnsi="Times"/>
          <w:sz w:val="22"/>
          <w:szCs w:val="22"/>
        </w:rPr>
        <w:t xml:space="preserve">To the extent possible under law across the world, the person or authority who associates CC0 with the work waives all copyright and related or neighboring rights to this work. For the text of this license, see: </w:t>
      </w:r>
      <w:hyperlink r:id="rId8" w:history="1">
        <w:r w:rsidRPr="00024BD4">
          <w:rPr>
            <w:rStyle w:val="Hyperlink"/>
            <w:rFonts w:ascii="Times" w:hAnsi="Times"/>
            <w:sz w:val="22"/>
            <w:szCs w:val="22"/>
          </w:rPr>
          <w:t>http://creativecommons.org/choose/zero/</w:t>
        </w:r>
      </w:hyperlink>
      <w:r>
        <w:t>.</w:t>
      </w:r>
    </w:p>
    <w:p w:rsidR="00383075" w:rsidRDefault="00383075" w:rsidP="00EE22DC">
      <w:pPr>
        <w:spacing w:line="360" w:lineRule="auto"/>
        <w:rPr>
          <w:rFonts w:ascii="Times" w:hAnsi="Times"/>
          <w:b/>
          <w:color w:val="000000"/>
          <w:sz w:val="22"/>
          <w:szCs w:val="22"/>
        </w:rPr>
      </w:pPr>
      <w:r w:rsidRPr="00F809EF">
        <w:rPr>
          <w:rFonts w:ascii="Times" w:hAnsi="Times"/>
          <w:b/>
          <w:color w:val="000000"/>
          <w:sz w:val="22"/>
          <w:szCs w:val="22"/>
        </w:rPr>
        <w:t>c. Open Data Commons Public Domain Dedication and License (PDDL)</w:t>
      </w:r>
      <w:r>
        <w:rPr>
          <w:rFonts w:ascii="Times" w:hAnsi="Times"/>
          <w:b/>
          <w:color w:val="000000"/>
          <w:sz w:val="22"/>
          <w:szCs w:val="22"/>
        </w:rPr>
        <w:t xml:space="preserve">.  </w:t>
      </w:r>
      <w:r w:rsidRPr="00024BD4">
        <w:rPr>
          <w:rFonts w:ascii="Times" w:hAnsi="Times"/>
          <w:sz w:val="22"/>
          <w:szCs w:val="22"/>
        </w:rPr>
        <w:t xml:space="preserve">The PDDL allows the database user to “copy, distribute and use the database”; “produce works from the database”; and “modify, transfer and build upon the database.” See: </w:t>
      </w:r>
      <w:hyperlink r:id="rId9" w:history="1">
        <w:r w:rsidRPr="00024BD4">
          <w:rPr>
            <w:rStyle w:val="Hyperlink"/>
            <w:rFonts w:ascii="Times" w:hAnsi="Times"/>
            <w:sz w:val="22"/>
            <w:szCs w:val="22"/>
          </w:rPr>
          <w:t>http://www.opendatacommons.org/licenses/pddl/1-0/</w:t>
        </w:r>
      </w:hyperlink>
      <w:r w:rsidRPr="00024BD4">
        <w:rPr>
          <w:rFonts w:ascii="Times" w:hAnsi="Times"/>
          <w:sz w:val="22"/>
          <w:szCs w:val="22"/>
        </w:rPr>
        <w:t xml:space="preserve"> for the full text of the license.</w:t>
      </w:r>
    </w:p>
    <w:p w:rsidR="00383075" w:rsidRDefault="00383075" w:rsidP="00EE22DC">
      <w:pPr>
        <w:pStyle w:val="Body"/>
        <w:spacing w:before="0" w:after="0" w:line="360" w:lineRule="auto"/>
        <w:ind w:left="0"/>
        <w:rPr>
          <w:rFonts w:ascii="Times" w:hAnsi="Times"/>
          <w:sz w:val="22"/>
          <w:szCs w:val="22"/>
        </w:rPr>
      </w:pPr>
      <w:r>
        <w:rPr>
          <w:rFonts w:ascii="Times" w:hAnsi="Times"/>
          <w:b/>
          <w:sz w:val="22"/>
          <w:szCs w:val="22"/>
        </w:rPr>
        <w:t>d</w:t>
      </w:r>
      <w:r w:rsidRPr="00F809EF">
        <w:rPr>
          <w:rFonts w:ascii="Times" w:hAnsi="Times"/>
          <w:b/>
          <w:sz w:val="22"/>
          <w:szCs w:val="22"/>
        </w:rPr>
        <w:t>. Creative Commons Attribution License</w:t>
      </w:r>
      <w:r>
        <w:rPr>
          <w:rFonts w:ascii="Times" w:hAnsi="Times"/>
          <w:b/>
          <w:sz w:val="22"/>
          <w:szCs w:val="22"/>
        </w:rPr>
        <w:t xml:space="preserve"> </w:t>
      </w:r>
      <w:r w:rsidRPr="00F809EF">
        <w:rPr>
          <w:rFonts w:ascii="Times" w:hAnsi="Times"/>
          <w:b/>
          <w:sz w:val="22"/>
          <w:szCs w:val="22"/>
        </w:rPr>
        <w:t>(CC BY 3.0)</w:t>
      </w:r>
      <w:r>
        <w:rPr>
          <w:rFonts w:ascii="Times" w:hAnsi="Times"/>
          <w:b/>
          <w:sz w:val="22"/>
          <w:szCs w:val="22"/>
        </w:rPr>
        <w:t xml:space="preserve">.  </w:t>
      </w:r>
      <w:r w:rsidRPr="00024BD4">
        <w:rPr>
          <w:rFonts w:ascii="Times New Roman" w:hAnsi="Times New Roman"/>
          <w:sz w:val="22"/>
          <w:szCs w:val="22"/>
        </w:rPr>
        <w:t>The CC BY 3.0 license allows the database user “to</w:t>
      </w:r>
      <w:r>
        <w:rPr>
          <w:rFonts w:ascii="Times New Roman" w:hAnsi="Times New Roman"/>
          <w:sz w:val="22"/>
          <w:szCs w:val="22"/>
        </w:rPr>
        <w:t xml:space="preserve"> </w:t>
      </w:r>
      <w:r w:rsidRPr="00024BD4">
        <w:rPr>
          <w:rFonts w:ascii="Times New Roman" w:hAnsi="Times New Roman"/>
          <w:sz w:val="22"/>
          <w:szCs w:val="22"/>
        </w:rPr>
        <w:t xml:space="preserve">Share – to copy, distribute and transmit the work”, and “to Remix – to adapt the work”, as long as the user “attribute[s] the work in the manner specified by the author or licensor” (plus some other conditions described below).  See: </w:t>
      </w:r>
      <w:hyperlink r:id="rId10" w:history="1">
        <w:r w:rsidRPr="00024BD4">
          <w:rPr>
            <w:rStyle w:val="Hyperlink"/>
            <w:rFonts w:ascii="Times" w:hAnsi="Times"/>
            <w:sz w:val="22"/>
            <w:szCs w:val="22"/>
          </w:rPr>
          <w:t>http://creativecommons.org/licenses/by/3.0/legalcode</w:t>
        </w:r>
      </w:hyperlink>
      <w:r w:rsidRPr="00024BD4">
        <w:rPr>
          <w:rFonts w:ascii="Times" w:hAnsi="Times"/>
          <w:sz w:val="22"/>
          <w:szCs w:val="22"/>
        </w:rPr>
        <w:t xml:space="preserve"> </w:t>
      </w:r>
      <w:r w:rsidRPr="00024BD4">
        <w:rPr>
          <w:rFonts w:ascii="Times New Roman" w:hAnsi="Times New Roman"/>
          <w:sz w:val="22"/>
          <w:szCs w:val="22"/>
        </w:rPr>
        <w:t>for the full text of the license.</w:t>
      </w:r>
    </w:p>
    <w:p w:rsidR="00383075" w:rsidRDefault="00383075" w:rsidP="00EE22DC">
      <w:pPr>
        <w:pStyle w:val="Body"/>
        <w:spacing w:before="0" w:after="0" w:line="360" w:lineRule="auto"/>
        <w:ind w:left="0"/>
        <w:rPr>
          <w:rFonts w:ascii="Times" w:hAnsi="Times"/>
          <w:b/>
          <w:sz w:val="22"/>
          <w:szCs w:val="22"/>
        </w:rPr>
      </w:pPr>
      <w:r>
        <w:rPr>
          <w:rFonts w:ascii="Times" w:hAnsi="Times"/>
          <w:b/>
          <w:sz w:val="22"/>
          <w:szCs w:val="22"/>
        </w:rPr>
        <w:t>e</w:t>
      </w:r>
      <w:r w:rsidRPr="00F809EF">
        <w:rPr>
          <w:rFonts w:ascii="Times" w:hAnsi="Times"/>
          <w:b/>
          <w:sz w:val="22"/>
          <w:szCs w:val="22"/>
        </w:rPr>
        <w:t>. Open Data Commons Attribution License (ODC BY 1.0)</w:t>
      </w:r>
      <w:r>
        <w:rPr>
          <w:rFonts w:ascii="Times" w:hAnsi="Times"/>
          <w:b/>
          <w:sz w:val="22"/>
          <w:szCs w:val="22"/>
        </w:rPr>
        <w:t xml:space="preserve">.  </w:t>
      </w:r>
      <w:r w:rsidRPr="00024BD4">
        <w:rPr>
          <w:rFonts w:ascii="Times" w:hAnsi="Times"/>
          <w:sz w:val="22"/>
          <w:szCs w:val="22"/>
        </w:rPr>
        <w:t>The ODC BY 1.0 license allows the database user “To Share: To copy, distribute and use the work”, “To Create: To produce works from the database”; and “To Adapt: To modify, transform and build upon the database”, as long as the user “attribute[s]</w:t>
      </w:r>
      <w:r w:rsidRPr="00024BD4">
        <w:rPr>
          <w:rFonts w:ascii="Times New Roman" w:hAnsi="Times New Roman"/>
          <w:sz w:val="22"/>
          <w:szCs w:val="22"/>
        </w:rPr>
        <w:t xml:space="preserve"> any public use of the database, or works produced from the database, in the manner specified in the license.”</w:t>
      </w:r>
      <w:r>
        <w:rPr>
          <w:rFonts w:ascii="Times New Roman" w:hAnsi="Times New Roman"/>
          <w:sz w:val="22"/>
          <w:szCs w:val="22"/>
        </w:rPr>
        <w:t xml:space="preserve">  </w:t>
      </w:r>
      <w:r w:rsidRPr="00024BD4">
        <w:rPr>
          <w:rFonts w:ascii="Times" w:hAnsi="Times"/>
          <w:sz w:val="22"/>
          <w:szCs w:val="22"/>
        </w:rPr>
        <w:t xml:space="preserve">See </w:t>
      </w:r>
      <w:hyperlink r:id="rId11" w:history="1">
        <w:r w:rsidRPr="00024BD4">
          <w:rPr>
            <w:rStyle w:val="Hyperlink"/>
            <w:rFonts w:ascii="Times" w:hAnsi="Times"/>
            <w:sz w:val="22"/>
            <w:szCs w:val="22"/>
          </w:rPr>
          <w:t>http://www.opendatacommons.org/licenses/by/</w:t>
        </w:r>
      </w:hyperlink>
      <w:r w:rsidRPr="00024BD4">
        <w:rPr>
          <w:rFonts w:ascii="Times" w:hAnsi="Times"/>
          <w:sz w:val="22"/>
          <w:szCs w:val="22"/>
        </w:rPr>
        <w:t xml:space="preserve"> for a full text of the license.</w:t>
      </w:r>
    </w:p>
    <w:p w:rsidR="00383075" w:rsidRDefault="00383075" w:rsidP="00814F5E">
      <w:pPr>
        <w:pStyle w:val="Body"/>
        <w:spacing w:before="0" w:after="0" w:line="360" w:lineRule="auto"/>
        <w:ind w:left="0"/>
        <w:rPr>
          <w:rFonts w:ascii="Times New Roman" w:hAnsi="Times New Roman"/>
          <w:sz w:val="22"/>
          <w:szCs w:val="22"/>
        </w:rPr>
      </w:pPr>
      <w:r w:rsidRPr="00BC7607">
        <w:rPr>
          <w:rFonts w:ascii="Times New Roman" w:hAnsi="Times New Roman"/>
          <w:sz w:val="22"/>
          <w:szCs w:val="22"/>
        </w:rPr>
        <w:t xml:space="preserve">3.3  </w:t>
      </w:r>
      <w:r>
        <w:rPr>
          <w:rFonts w:ascii="Times" w:hAnsi="Times"/>
          <w:sz w:val="22"/>
          <w:szCs w:val="22"/>
        </w:rPr>
        <w:t>Examples of standard, common-use licenses that meet the GEOSS Data-CORE terms and conditions, but that are geographically limited or constrained to a particular type of data and information (e.g., originating from a public-sector entity) include: t</w:t>
      </w:r>
      <w:r w:rsidRPr="00814F5E">
        <w:rPr>
          <w:rFonts w:ascii="Times" w:hAnsi="Times"/>
          <w:sz w:val="22"/>
          <w:szCs w:val="22"/>
        </w:rPr>
        <w:t>he U.K. Open Government Licence for Public Sector Information (OGL)</w:t>
      </w:r>
      <w:r>
        <w:rPr>
          <w:rFonts w:ascii="Times" w:hAnsi="Times"/>
          <w:sz w:val="22"/>
          <w:szCs w:val="22"/>
        </w:rPr>
        <w:t xml:space="preserve">, available at </w:t>
      </w:r>
      <w:hyperlink r:id="rId12" w:history="1">
        <w:r w:rsidRPr="00024BD4">
          <w:rPr>
            <w:rStyle w:val="Hyperlink"/>
            <w:rFonts w:ascii="Times" w:hAnsi="Times"/>
            <w:sz w:val="22"/>
            <w:szCs w:val="22"/>
          </w:rPr>
          <w:t>http://www.nationalarchives.gov.uk/doc/open-government-licence/</w:t>
        </w:r>
      </w:hyperlink>
      <w:r>
        <w:t>, and the</w:t>
      </w:r>
      <w:r w:rsidRPr="00814F5E">
        <w:rPr>
          <w:rFonts w:ascii="Times New Roman" w:hAnsi="Times New Roman"/>
          <w:sz w:val="22"/>
          <w:szCs w:val="22"/>
        </w:rPr>
        <w:t xml:space="preserve"> Norwegian Open Data License for Public Sector Information (NLOD)</w:t>
      </w:r>
      <w:r>
        <w:rPr>
          <w:rFonts w:ascii="Times New Roman" w:hAnsi="Times New Roman"/>
          <w:sz w:val="22"/>
          <w:szCs w:val="22"/>
        </w:rPr>
        <w:t xml:space="preserve">, available at </w:t>
      </w:r>
      <w:hyperlink r:id="rId13" w:history="1">
        <w:r w:rsidRPr="00C830C3">
          <w:rPr>
            <w:rStyle w:val="Hyperlink"/>
            <w:rFonts w:ascii="Times New Roman" w:hAnsi="Times New Roman"/>
            <w:sz w:val="22"/>
            <w:szCs w:val="22"/>
          </w:rPr>
          <w:t>http://data.norge.no/nlod</w:t>
        </w:r>
      </w:hyperlink>
      <w:r w:rsidRPr="00C830C3">
        <w:rPr>
          <w:rFonts w:ascii="Times New Roman" w:hAnsi="Times New Roman"/>
          <w:sz w:val="22"/>
          <w:szCs w:val="22"/>
        </w:rPr>
        <w:t>.</w:t>
      </w:r>
    </w:p>
    <w:p w:rsidR="00383075" w:rsidRPr="00BC7607" w:rsidRDefault="00383075" w:rsidP="00814F5E">
      <w:pPr>
        <w:pStyle w:val="Body"/>
        <w:spacing w:before="0" w:after="0" w:line="360" w:lineRule="auto"/>
        <w:ind w:left="0"/>
        <w:rPr>
          <w:rFonts w:ascii="Times New Roman" w:hAnsi="Times New Roman"/>
          <w:sz w:val="22"/>
          <w:szCs w:val="22"/>
        </w:rPr>
      </w:pPr>
      <w:r w:rsidRPr="00BC7607">
        <w:rPr>
          <w:rFonts w:ascii="Times New Roman" w:hAnsi="Times New Roman"/>
          <w:sz w:val="22"/>
          <w:szCs w:val="22"/>
        </w:rPr>
        <w:t>3.4 Custom licenses that have the same terms and conditions as the characteristics listed in section 3.1 above, or the standard, common-use licenses summarized in section 3.2 above can also be used by the data providers in GEOSS, although such custom licenses will not be vetted and approved by the GEO Members in advance.</w:t>
      </w:r>
      <w:bookmarkStart w:id="8" w:name="toc-anchor-341-5"/>
      <w:bookmarkStart w:id="9" w:name="1-0-definitions-of-capitalised-words"/>
      <w:bookmarkStart w:id="10" w:name="toc-anchor-341-6"/>
      <w:bookmarkStart w:id="11" w:name="2-0-what-this-license-covers"/>
      <w:bookmarkStart w:id="12" w:name="toc-anchor-341-7"/>
      <w:bookmarkStart w:id="13" w:name="3-0-rights-granted"/>
      <w:bookmarkStart w:id="14" w:name="toc-anchor-341-8"/>
      <w:bookmarkStart w:id="15" w:name="4-0-conditions-of-use"/>
      <w:bookmarkStart w:id="16" w:name="toc-anchor-341-9"/>
      <w:bookmarkStart w:id="17" w:name="5-0-moral-rights"/>
      <w:bookmarkStart w:id="18" w:name="toc-anchor-341-10"/>
      <w:bookmarkStart w:id="19" w:name="6-0-fair-dealing-database-exceptions-and"/>
      <w:bookmarkStart w:id="20" w:name="toc-anchor-341-11"/>
      <w:bookmarkStart w:id="21" w:name="7-0-warranties-and-disclaimer"/>
      <w:bookmarkStart w:id="22" w:name="toc-anchor-341-12"/>
      <w:bookmarkStart w:id="23" w:name="8-0-limitation-of-liability"/>
      <w:bookmarkStart w:id="24" w:name="toc-anchor-341-13"/>
      <w:bookmarkStart w:id="25" w:name="9-0-termination-of-your-rights-under-thi"/>
      <w:bookmarkStart w:id="26" w:name="toc-anchor-341-14"/>
      <w:bookmarkStart w:id="27" w:name="10-0-general"/>
      <w:bookmarkStart w:id="28" w:name="toc-anchor-341-15"/>
      <w:bookmarkStart w:id="29" w:name="preamble"/>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BC7607">
        <w:rPr>
          <w:rFonts w:ascii="Times New Roman" w:hAnsi="Times New Roman"/>
          <w:sz w:val="22"/>
          <w:szCs w:val="22"/>
        </w:rPr>
        <w:t xml:space="preserve"> </w:t>
      </w:r>
      <w:r>
        <w:rPr>
          <w:rFonts w:ascii="Times New Roman" w:hAnsi="Times New Roman"/>
          <w:sz w:val="22"/>
          <w:szCs w:val="22"/>
        </w:rPr>
        <w:t xml:space="preserve"> </w:t>
      </w:r>
    </w:p>
    <w:p w:rsidR="00383075" w:rsidRPr="00024BD4" w:rsidRDefault="00383075" w:rsidP="008E6CE2">
      <w:pPr>
        <w:spacing w:line="360" w:lineRule="auto"/>
      </w:pPr>
    </w:p>
    <w:sectPr w:rsidR="00383075" w:rsidRPr="00024BD4" w:rsidSect="00525EF8">
      <w:headerReference w:type="default" r:id="rId14"/>
      <w:footerReference w:type="even" r:id="rId15"/>
      <w:footerReference w:type="default" r:id="rId16"/>
      <w:pgSz w:w="12240" w:h="15840" w:code="1"/>
      <w:pgMar w:top="1440" w:right="1440" w:bottom="1440" w:left="1440" w:header="720" w:footer="864" w:gutter="0"/>
      <w:lnNumType w:countBy="1" w:restart="continuou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075" w:rsidRDefault="00383075">
      <w:r>
        <w:separator/>
      </w:r>
    </w:p>
  </w:endnote>
  <w:endnote w:type="continuationSeparator" w:id="0">
    <w:p w:rsidR="00383075" w:rsidRDefault="003830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fc"/>
    <w:panose1 w:val="02020609040205080304"/>
    <w:charset w:val="80"/>
    <w:family w:val="roman"/>
    <w:notTrueType/>
    <w:pitch w:val="fixed"/>
    <w:sig w:usb0="00000001" w:usb1="08070000" w:usb2="00000010" w:usb3="00000000" w:csb0="00020000" w:csb1="00000000"/>
  </w:font>
  <w:font w:name="Baskerville">
    <w:altName w:val="Baskerville Old Face"/>
    <w:panose1 w:val="00000000000000000000"/>
    <w:charset w:val="00"/>
    <w:family w:val="auto"/>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075" w:rsidRDefault="00383075" w:rsidP="001B78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383075" w:rsidRDefault="00383075" w:rsidP="000447AC">
    <w:pPr>
      <w:pStyle w:val="HeaderFooter"/>
      <w:ind w:right="360"/>
      <w:jc w:val="center"/>
      <w:rPr>
        <w:rFonts w:ascii="Times New Roman" w:hAnsi="Times New Roman"/>
        <w:color w:val="aut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075" w:rsidRDefault="00383075" w:rsidP="001B78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383075" w:rsidRPr="000447AC" w:rsidRDefault="00383075" w:rsidP="000447AC">
    <w:pPr>
      <w:pStyle w:val="HeaderFooter"/>
      <w:ind w:right="360"/>
      <w:rPr>
        <w:rFonts w:ascii="Times New Roman" w:hAnsi="Times New Roman"/>
        <w:b/>
        <w:color w:val="auto"/>
      </w:rPr>
    </w:pPr>
    <w:r>
      <w:rPr>
        <w:rFonts w:ascii="Baskerville" w:hAnsi="Baskerville"/>
      </w:rPr>
      <w:t xml:space="preserve"> </w:t>
    </w:r>
    <w:r>
      <w:rPr>
        <w:rFonts w:ascii="Times New Roman" w:hAnsi="Times New Roman"/>
        <w:b/>
      </w:rPr>
      <w:t>INTERNAL USE ONLY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075" w:rsidRDefault="00383075">
      <w:r>
        <w:separator/>
      </w:r>
    </w:p>
  </w:footnote>
  <w:footnote w:type="continuationSeparator" w:id="0">
    <w:p w:rsidR="00383075" w:rsidRDefault="00383075">
      <w:r>
        <w:continuationSeparator/>
      </w:r>
    </w:p>
  </w:footnote>
  <w:footnote w:id="1">
    <w:p w:rsidR="00383075" w:rsidRDefault="00383075">
      <w:pPr>
        <w:pStyle w:val="FootnoteText"/>
      </w:pPr>
      <w:r>
        <w:rPr>
          <w:rStyle w:val="FootnoteReference"/>
        </w:rPr>
        <w:footnoteRef/>
      </w:r>
      <w:r>
        <w:t xml:space="preserve"> The Data Sharing Task Force is grateful to its Legal Interoperability Sub-Group members for providing the draft of this summary and related white paper. The Sub-Group members are: …</w:t>
      </w:r>
    </w:p>
  </w:footnote>
  <w:footnote w:id="2">
    <w:p w:rsidR="00383075" w:rsidRDefault="00383075">
      <w:pPr>
        <w:pStyle w:val="FootnoteText"/>
      </w:pPr>
      <w:r>
        <w:rPr>
          <w:rStyle w:val="FootnoteReference"/>
        </w:rPr>
        <w:footnoteRef/>
      </w:r>
      <w:r>
        <w:t xml:space="preserve"> The full white paper is available at: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075" w:rsidRPr="000447AC" w:rsidRDefault="00383075">
    <w:pPr>
      <w:pStyle w:val="HeaderFooter"/>
      <w:rPr>
        <w:rFonts w:ascii="Times New Roman" w:hAnsi="Times New Roman"/>
        <w:b/>
        <w:color w:val="auto"/>
      </w:rPr>
    </w:pPr>
    <w:r>
      <w:rPr>
        <w:rFonts w:ascii="Times New Roman" w:hAnsi="Times New Roman"/>
        <w:color w:val="auto"/>
      </w:rPr>
      <w:tab/>
    </w:r>
    <w:r>
      <w:rPr>
        <w:rFonts w:ascii="Times New Roman" w:hAnsi="Times New Roman"/>
        <w:b/>
        <w:color w:val="auto"/>
      </w:rPr>
      <w:t>Draft 5 June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180"/>
        </w:tabs>
        <w:ind w:left="18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00000002"/>
    <w:multiLevelType w:val="multilevel"/>
    <w:tmpl w:val="0DF600C6"/>
    <w:lvl w:ilvl="0">
      <w:start w:val="1"/>
      <w:numFmt w:val="bullet"/>
      <w:lvlText w:val="-"/>
      <w:lvlJc w:val="left"/>
      <w:pPr>
        <w:tabs>
          <w:tab w:val="num" w:pos="180"/>
        </w:tabs>
        <w:ind w:left="180"/>
      </w:pPr>
      <w:rPr>
        <w:rFonts w:hint="default"/>
        <w:b/>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2">
    <w:nsid w:val="001437F0"/>
    <w:multiLevelType w:val="hybridMultilevel"/>
    <w:tmpl w:val="63C62518"/>
    <w:lvl w:ilvl="0" w:tplc="61708ED8">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6D39E3"/>
    <w:multiLevelType w:val="hybridMultilevel"/>
    <w:tmpl w:val="043254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611211"/>
    <w:multiLevelType w:val="multilevel"/>
    <w:tmpl w:val="B2B8EAA0"/>
    <w:lvl w:ilvl="0">
      <w:start w:val="1"/>
      <w:numFmt w:val="lowerLetter"/>
      <w:lvlText w:val="%1."/>
      <w:lvlJc w:val="left"/>
      <w:pPr>
        <w:tabs>
          <w:tab w:val="num" w:pos="720"/>
        </w:tabs>
        <w:ind w:left="720" w:hanging="360"/>
      </w:pPr>
      <w:rPr>
        <w:rFonts w:cs="Times New Roman"/>
      </w:rPr>
    </w:lvl>
    <w:lvl w:ilvl="1">
      <w:start w:val="1"/>
      <w:numFmt w:val="lowerRoman"/>
      <w:lvlText w:val="%2."/>
      <w:lvlJc w:val="righ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5">
    <w:nsid w:val="09FC48A3"/>
    <w:multiLevelType w:val="multilevel"/>
    <w:tmpl w:val="9E48CCC0"/>
    <w:lvl w:ilvl="0">
      <w:numFmt w:val="bullet"/>
      <w:lvlText w:val="-"/>
      <w:lvlJc w:val="left"/>
      <w:pPr>
        <w:tabs>
          <w:tab w:val="num" w:pos="540"/>
        </w:tabs>
        <w:ind w:left="540" w:hanging="360"/>
      </w:pPr>
      <w:rPr>
        <w:rFonts w:ascii="Times New Roman" w:eastAsia="MS Mincho" w:hAnsi="Times New Roman" w:hint="default"/>
        <w:b/>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6">
    <w:nsid w:val="0F4F721E"/>
    <w:multiLevelType w:val="multilevel"/>
    <w:tmpl w:val="90801904"/>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7">
    <w:nsid w:val="11F35D3F"/>
    <w:multiLevelType w:val="multilevel"/>
    <w:tmpl w:val="0DF600C6"/>
    <w:lvl w:ilvl="0">
      <w:start w:val="1"/>
      <w:numFmt w:val="bullet"/>
      <w:lvlText w:val="-"/>
      <w:lvlJc w:val="left"/>
      <w:pPr>
        <w:tabs>
          <w:tab w:val="num" w:pos="180"/>
        </w:tabs>
        <w:ind w:left="180"/>
      </w:pPr>
      <w:rPr>
        <w:rFonts w:hint="default"/>
        <w:b/>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8">
    <w:nsid w:val="17636C3B"/>
    <w:multiLevelType w:val="multilevel"/>
    <w:tmpl w:val="9E48CCC0"/>
    <w:lvl w:ilvl="0">
      <w:numFmt w:val="bullet"/>
      <w:lvlText w:val="-"/>
      <w:lvlJc w:val="left"/>
      <w:pPr>
        <w:tabs>
          <w:tab w:val="num" w:pos="540"/>
        </w:tabs>
        <w:ind w:left="540" w:hanging="360"/>
      </w:pPr>
      <w:rPr>
        <w:rFonts w:ascii="Times New Roman" w:eastAsia="MS Mincho" w:hAnsi="Times New Roman" w:hint="default"/>
        <w:b/>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9">
    <w:nsid w:val="1AF60076"/>
    <w:multiLevelType w:val="multilevel"/>
    <w:tmpl w:val="5E8A54CA"/>
    <w:lvl w:ilvl="0">
      <w:start w:val="1"/>
      <w:numFmt w:val="lowerLetter"/>
      <w:lvlText w:val="%1."/>
      <w:lvlJc w:val="left"/>
      <w:pPr>
        <w:tabs>
          <w:tab w:val="num" w:pos="540"/>
        </w:tabs>
        <w:ind w:left="540" w:hanging="360"/>
      </w:pPr>
      <w:rPr>
        <w:rFonts w:cs="Times New Roman" w:hint="default"/>
        <w:b/>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10">
    <w:nsid w:val="1D760049"/>
    <w:multiLevelType w:val="multilevel"/>
    <w:tmpl w:val="575E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3B7322"/>
    <w:multiLevelType w:val="multilevel"/>
    <w:tmpl w:val="739A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AA6E7F"/>
    <w:multiLevelType w:val="multilevel"/>
    <w:tmpl w:val="793EDBE2"/>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3">
    <w:nsid w:val="2F2718D0"/>
    <w:multiLevelType w:val="hybridMultilevel"/>
    <w:tmpl w:val="3460B7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110C95"/>
    <w:multiLevelType w:val="multilevel"/>
    <w:tmpl w:val="A100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FB2FF7"/>
    <w:multiLevelType w:val="multilevel"/>
    <w:tmpl w:val="946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741C4D"/>
    <w:multiLevelType w:val="singleLevel"/>
    <w:tmpl w:val="BBD6905E"/>
    <w:lvl w:ilvl="0">
      <w:start w:val="1"/>
      <w:numFmt w:val="decimal"/>
      <w:lvlText w:val="%1."/>
      <w:legacy w:legacy="1" w:legacySpace="120" w:legacyIndent="360"/>
      <w:lvlJc w:val="left"/>
      <w:pPr>
        <w:ind w:left="720" w:hanging="360"/>
      </w:pPr>
      <w:rPr>
        <w:rFonts w:ascii="Times New Roman" w:hAnsi="Times New Roman" w:cs="Times New Roman" w:hint="default"/>
      </w:rPr>
    </w:lvl>
  </w:abstractNum>
  <w:abstractNum w:abstractNumId="17">
    <w:nsid w:val="3F26461C"/>
    <w:multiLevelType w:val="multilevel"/>
    <w:tmpl w:val="A8E86DF2"/>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8">
    <w:nsid w:val="4153414C"/>
    <w:multiLevelType w:val="hybridMultilevel"/>
    <w:tmpl w:val="5E8A54CA"/>
    <w:lvl w:ilvl="0" w:tplc="1BF27326">
      <w:start w:val="1"/>
      <w:numFmt w:val="lowerLetter"/>
      <w:lvlText w:val="%1."/>
      <w:lvlJc w:val="left"/>
      <w:pPr>
        <w:tabs>
          <w:tab w:val="num" w:pos="540"/>
        </w:tabs>
        <w:ind w:left="540" w:hanging="360"/>
      </w:pPr>
      <w:rPr>
        <w:rFonts w:cs="Times New Roman" w:hint="default"/>
        <w:b/>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9">
    <w:nsid w:val="43C931D2"/>
    <w:multiLevelType w:val="hybridMultilevel"/>
    <w:tmpl w:val="30AC7EB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FA5595"/>
    <w:multiLevelType w:val="multilevel"/>
    <w:tmpl w:val="F89402AA"/>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1">
    <w:nsid w:val="496C0045"/>
    <w:multiLevelType w:val="hybridMultilevel"/>
    <w:tmpl w:val="20DA8C42"/>
    <w:lvl w:ilvl="0" w:tplc="3D7C19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3664A31"/>
    <w:multiLevelType w:val="hybridMultilevel"/>
    <w:tmpl w:val="DC3EEEC0"/>
    <w:lvl w:ilvl="0" w:tplc="1BF27326">
      <w:start w:val="1"/>
      <w:numFmt w:val="lowerLetter"/>
      <w:lvlText w:val="%1."/>
      <w:lvlJc w:val="left"/>
      <w:pPr>
        <w:tabs>
          <w:tab w:val="num" w:pos="540"/>
        </w:tabs>
        <w:ind w:left="54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A6C39C2"/>
    <w:multiLevelType w:val="multilevel"/>
    <w:tmpl w:val="FCCE0A12"/>
    <w:lvl w:ilvl="0">
      <w:start w:val="1"/>
      <w:numFmt w:val="bullet"/>
      <w:lvlText w:val=""/>
      <w:lvlJc w:val="left"/>
      <w:pPr>
        <w:tabs>
          <w:tab w:val="num" w:pos="720"/>
        </w:tabs>
        <w:ind w:left="720" w:hanging="360"/>
      </w:pPr>
      <w:rPr>
        <w:rFonts w:ascii="Wingdings" w:hAnsi="Wingdings" w:hint="default"/>
        <w:b/>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24">
    <w:nsid w:val="64100190"/>
    <w:multiLevelType w:val="multilevel"/>
    <w:tmpl w:val="25A2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911F50"/>
    <w:multiLevelType w:val="hybridMultilevel"/>
    <w:tmpl w:val="0486FC7C"/>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9EA7D7A"/>
    <w:multiLevelType w:val="hybridMultilevel"/>
    <w:tmpl w:val="212AC192"/>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116300E"/>
    <w:multiLevelType w:val="multilevel"/>
    <w:tmpl w:val="AA48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076C20"/>
    <w:multiLevelType w:val="hybridMultilevel"/>
    <w:tmpl w:val="8660BA7C"/>
    <w:lvl w:ilvl="0" w:tplc="2494B7E0">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9">
    <w:nsid w:val="78F178FB"/>
    <w:multiLevelType w:val="multilevel"/>
    <w:tmpl w:val="0B0AF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F85418"/>
    <w:multiLevelType w:val="hybridMultilevel"/>
    <w:tmpl w:val="E028247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C1B6FF5"/>
    <w:multiLevelType w:val="hybridMultilevel"/>
    <w:tmpl w:val="290864BE"/>
    <w:lvl w:ilvl="0" w:tplc="04090001">
      <w:start w:val="1"/>
      <w:numFmt w:val="decimal"/>
      <w:lvlText w:val="%1."/>
      <w:lvlJc w:val="left"/>
      <w:pPr>
        <w:tabs>
          <w:tab w:val="num" w:pos="1080"/>
        </w:tabs>
        <w:ind w:left="1080" w:hanging="720"/>
      </w:pPr>
      <w:rPr>
        <w:rFonts w:cs="Times New Roman" w:hint="default"/>
      </w:rPr>
    </w:lvl>
    <w:lvl w:ilvl="1" w:tplc="04090003">
      <w:start w:val="1"/>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18"/>
  </w:num>
  <w:num w:numId="4">
    <w:abstractNumId w:val="28"/>
  </w:num>
  <w:num w:numId="5">
    <w:abstractNumId w:val="16"/>
  </w:num>
  <w:num w:numId="6">
    <w:abstractNumId w:val="21"/>
  </w:num>
  <w:num w:numId="7">
    <w:abstractNumId w:val="31"/>
  </w:num>
  <w:num w:numId="8">
    <w:abstractNumId w:val="2"/>
  </w:num>
  <w:num w:numId="9">
    <w:abstractNumId w:val="19"/>
  </w:num>
  <w:num w:numId="10">
    <w:abstractNumId w:val="7"/>
  </w:num>
  <w:num w:numId="11">
    <w:abstractNumId w:val="5"/>
  </w:num>
  <w:num w:numId="12">
    <w:abstractNumId w:val="8"/>
  </w:num>
  <w:num w:numId="13">
    <w:abstractNumId w:val="23"/>
  </w:num>
  <w:num w:numId="14">
    <w:abstractNumId w:val="25"/>
  </w:num>
  <w:num w:numId="15">
    <w:abstractNumId w:val="13"/>
  </w:num>
  <w:num w:numId="16">
    <w:abstractNumId w:val="6"/>
  </w:num>
  <w:num w:numId="17">
    <w:abstractNumId w:val="4"/>
  </w:num>
  <w:num w:numId="18">
    <w:abstractNumId w:val="20"/>
  </w:num>
  <w:num w:numId="19">
    <w:abstractNumId w:val="17"/>
  </w:num>
  <w:num w:numId="20">
    <w:abstractNumId w:val="12"/>
  </w:num>
  <w:num w:numId="21">
    <w:abstractNumId w:val="29"/>
  </w:num>
  <w:num w:numId="22">
    <w:abstractNumId w:val="14"/>
  </w:num>
  <w:num w:numId="23">
    <w:abstractNumId w:val="27"/>
  </w:num>
  <w:num w:numId="24">
    <w:abstractNumId w:val="11"/>
  </w:num>
  <w:num w:numId="25">
    <w:abstractNumId w:val="15"/>
  </w:num>
  <w:num w:numId="26">
    <w:abstractNumId w:val="10"/>
  </w:num>
  <w:num w:numId="27">
    <w:abstractNumId w:val="24"/>
  </w:num>
  <w:num w:numId="28">
    <w:abstractNumId w:val="9"/>
  </w:num>
  <w:num w:numId="29">
    <w:abstractNumId w:val="22"/>
  </w:num>
  <w:num w:numId="30">
    <w:abstractNumId w:val="30"/>
  </w:num>
  <w:num w:numId="31">
    <w:abstractNumId w:val="3"/>
  </w:num>
  <w:num w:numId="3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2801"/>
  <w:trackRevision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5C4C5B"/>
    <w:rsid w:val="0000161A"/>
    <w:rsid w:val="00022171"/>
    <w:rsid w:val="00022E3C"/>
    <w:rsid w:val="00024BD4"/>
    <w:rsid w:val="0002650D"/>
    <w:rsid w:val="0002752C"/>
    <w:rsid w:val="00032FA8"/>
    <w:rsid w:val="000411E3"/>
    <w:rsid w:val="00042C53"/>
    <w:rsid w:val="000447AC"/>
    <w:rsid w:val="000568A2"/>
    <w:rsid w:val="00060A92"/>
    <w:rsid w:val="00082197"/>
    <w:rsid w:val="0008632F"/>
    <w:rsid w:val="00093C82"/>
    <w:rsid w:val="000B2090"/>
    <w:rsid w:val="000B3BD8"/>
    <w:rsid w:val="000D2BB0"/>
    <w:rsid w:val="000F1662"/>
    <w:rsid w:val="00100A4F"/>
    <w:rsid w:val="0010403E"/>
    <w:rsid w:val="00126FE2"/>
    <w:rsid w:val="0013199E"/>
    <w:rsid w:val="00135233"/>
    <w:rsid w:val="0013771A"/>
    <w:rsid w:val="00137790"/>
    <w:rsid w:val="001567D8"/>
    <w:rsid w:val="00160500"/>
    <w:rsid w:val="00185FBB"/>
    <w:rsid w:val="00187A7B"/>
    <w:rsid w:val="00194B7F"/>
    <w:rsid w:val="001B74E9"/>
    <w:rsid w:val="001B787D"/>
    <w:rsid w:val="001D2335"/>
    <w:rsid w:val="001D32CC"/>
    <w:rsid w:val="001F2AF3"/>
    <w:rsid w:val="00204838"/>
    <w:rsid w:val="002224F4"/>
    <w:rsid w:val="00231C3C"/>
    <w:rsid w:val="002338E9"/>
    <w:rsid w:val="002457DC"/>
    <w:rsid w:val="0024748B"/>
    <w:rsid w:val="00254BA0"/>
    <w:rsid w:val="00257EC8"/>
    <w:rsid w:val="0027203C"/>
    <w:rsid w:val="0027577A"/>
    <w:rsid w:val="00275E29"/>
    <w:rsid w:val="00290FEE"/>
    <w:rsid w:val="002A36AE"/>
    <w:rsid w:val="002B02A1"/>
    <w:rsid w:val="002C1569"/>
    <w:rsid w:val="002C6516"/>
    <w:rsid w:val="002D424F"/>
    <w:rsid w:val="002D6B35"/>
    <w:rsid w:val="00312A1D"/>
    <w:rsid w:val="0031498F"/>
    <w:rsid w:val="003154D2"/>
    <w:rsid w:val="00316E7D"/>
    <w:rsid w:val="003254BA"/>
    <w:rsid w:val="003258E9"/>
    <w:rsid w:val="00330F76"/>
    <w:rsid w:val="003311E5"/>
    <w:rsid w:val="00331668"/>
    <w:rsid w:val="003522F1"/>
    <w:rsid w:val="00357562"/>
    <w:rsid w:val="00365A82"/>
    <w:rsid w:val="003710C0"/>
    <w:rsid w:val="003805C6"/>
    <w:rsid w:val="003816E3"/>
    <w:rsid w:val="00383075"/>
    <w:rsid w:val="00384DC3"/>
    <w:rsid w:val="00385FBF"/>
    <w:rsid w:val="003912E9"/>
    <w:rsid w:val="00394F8E"/>
    <w:rsid w:val="003B3622"/>
    <w:rsid w:val="003B3CFE"/>
    <w:rsid w:val="003F4D05"/>
    <w:rsid w:val="003F7A31"/>
    <w:rsid w:val="004006B5"/>
    <w:rsid w:val="00402979"/>
    <w:rsid w:val="00411435"/>
    <w:rsid w:val="0041240E"/>
    <w:rsid w:val="00413151"/>
    <w:rsid w:val="0041610F"/>
    <w:rsid w:val="00421A66"/>
    <w:rsid w:val="004334F6"/>
    <w:rsid w:val="00440E32"/>
    <w:rsid w:val="00471225"/>
    <w:rsid w:val="004766AF"/>
    <w:rsid w:val="00477A6F"/>
    <w:rsid w:val="004838DD"/>
    <w:rsid w:val="00485C57"/>
    <w:rsid w:val="00487BDA"/>
    <w:rsid w:val="00491F27"/>
    <w:rsid w:val="00493464"/>
    <w:rsid w:val="004961ED"/>
    <w:rsid w:val="004A0A07"/>
    <w:rsid w:val="004A3D1F"/>
    <w:rsid w:val="004B1E25"/>
    <w:rsid w:val="004C329E"/>
    <w:rsid w:val="004C34B0"/>
    <w:rsid w:val="004C7281"/>
    <w:rsid w:val="004C7CB4"/>
    <w:rsid w:val="004D2D04"/>
    <w:rsid w:val="004D5843"/>
    <w:rsid w:val="004F6018"/>
    <w:rsid w:val="0050160F"/>
    <w:rsid w:val="00502090"/>
    <w:rsid w:val="0051300F"/>
    <w:rsid w:val="00525817"/>
    <w:rsid w:val="00525EF8"/>
    <w:rsid w:val="00533D7F"/>
    <w:rsid w:val="005364D0"/>
    <w:rsid w:val="00537FC1"/>
    <w:rsid w:val="00543631"/>
    <w:rsid w:val="00547506"/>
    <w:rsid w:val="00547FE3"/>
    <w:rsid w:val="005578F7"/>
    <w:rsid w:val="00584D92"/>
    <w:rsid w:val="005959B3"/>
    <w:rsid w:val="005A3AD0"/>
    <w:rsid w:val="005B0AAD"/>
    <w:rsid w:val="005B2D01"/>
    <w:rsid w:val="005B3F7C"/>
    <w:rsid w:val="005C1CAD"/>
    <w:rsid w:val="005C3FEA"/>
    <w:rsid w:val="005C4C5B"/>
    <w:rsid w:val="005C7099"/>
    <w:rsid w:val="005D6668"/>
    <w:rsid w:val="005E68F5"/>
    <w:rsid w:val="005F7D00"/>
    <w:rsid w:val="006071CA"/>
    <w:rsid w:val="00610CA9"/>
    <w:rsid w:val="00612B0C"/>
    <w:rsid w:val="00613D52"/>
    <w:rsid w:val="0061593A"/>
    <w:rsid w:val="00615B54"/>
    <w:rsid w:val="00622EB9"/>
    <w:rsid w:val="006313A2"/>
    <w:rsid w:val="00633DA3"/>
    <w:rsid w:val="00643C40"/>
    <w:rsid w:val="006623BB"/>
    <w:rsid w:val="00663551"/>
    <w:rsid w:val="00664571"/>
    <w:rsid w:val="0066640A"/>
    <w:rsid w:val="00685869"/>
    <w:rsid w:val="00690FC8"/>
    <w:rsid w:val="006E7844"/>
    <w:rsid w:val="006F4DDF"/>
    <w:rsid w:val="007039ED"/>
    <w:rsid w:val="007050E1"/>
    <w:rsid w:val="00705CE7"/>
    <w:rsid w:val="00713E8F"/>
    <w:rsid w:val="00720E2B"/>
    <w:rsid w:val="0072764B"/>
    <w:rsid w:val="0073061B"/>
    <w:rsid w:val="00731808"/>
    <w:rsid w:val="00731924"/>
    <w:rsid w:val="00742C84"/>
    <w:rsid w:val="00753251"/>
    <w:rsid w:val="0076326A"/>
    <w:rsid w:val="00792BFF"/>
    <w:rsid w:val="007939EB"/>
    <w:rsid w:val="00794C8B"/>
    <w:rsid w:val="00795078"/>
    <w:rsid w:val="0079752D"/>
    <w:rsid w:val="007A3F8B"/>
    <w:rsid w:val="007C4D36"/>
    <w:rsid w:val="007E16D1"/>
    <w:rsid w:val="007E3DCA"/>
    <w:rsid w:val="007F0091"/>
    <w:rsid w:val="00803A9F"/>
    <w:rsid w:val="0080556E"/>
    <w:rsid w:val="00805E8C"/>
    <w:rsid w:val="0080776B"/>
    <w:rsid w:val="0081456F"/>
    <w:rsid w:val="00814F5E"/>
    <w:rsid w:val="00815793"/>
    <w:rsid w:val="00820C82"/>
    <w:rsid w:val="0082132A"/>
    <w:rsid w:val="008242CA"/>
    <w:rsid w:val="00824CA8"/>
    <w:rsid w:val="0082620E"/>
    <w:rsid w:val="00830671"/>
    <w:rsid w:val="008312EA"/>
    <w:rsid w:val="00832E56"/>
    <w:rsid w:val="00834964"/>
    <w:rsid w:val="00846FF0"/>
    <w:rsid w:val="008568E5"/>
    <w:rsid w:val="008654B6"/>
    <w:rsid w:val="00870B37"/>
    <w:rsid w:val="008809D4"/>
    <w:rsid w:val="00892015"/>
    <w:rsid w:val="008A0F69"/>
    <w:rsid w:val="008B0638"/>
    <w:rsid w:val="008C291F"/>
    <w:rsid w:val="008C4FE5"/>
    <w:rsid w:val="008C51A2"/>
    <w:rsid w:val="008D5D36"/>
    <w:rsid w:val="008E2245"/>
    <w:rsid w:val="008E34A6"/>
    <w:rsid w:val="008E6CE2"/>
    <w:rsid w:val="008F1F7A"/>
    <w:rsid w:val="008F390F"/>
    <w:rsid w:val="008F6429"/>
    <w:rsid w:val="00900F33"/>
    <w:rsid w:val="00905D2A"/>
    <w:rsid w:val="009111FF"/>
    <w:rsid w:val="00922193"/>
    <w:rsid w:val="009300E1"/>
    <w:rsid w:val="009603AB"/>
    <w:rsid w:val="00970F5F"/>
    <w:rsid w:val="009718BE"/>
    <w:rsid w:val="00971B31"/>
    <w:rsid w:val="00971E5F"/>
    <w:rsid w:val="009728A8"/>
    <w:rsid w:val="0098066A"/>
    <w:rsid w:val="00983C21"/>
    <w:rsid w:val="009909FC"/>
    <w:rsid w:val="00990F2A"/>
    <w:rsid w:val="009A36B7"/>
    <w:rsid w:val="009A4A78"/>
    <w:rsid w:val="009C1C8E"/>
    <w:rsid w:val="009D15C7"/>
    <w:rsid w:val="009D237B"/>
    <w:rsid w:val="009E67A7"/>
    <w:rsid w:val="00A00BDA"/>
    <w:rsid w:val="00A038E0"/>
    <w:rsid w:val="00A073BB"/>
    <w:rsid w:val="00A17F87"/>
    <w:rsid w:val="00A21175"/>
    <w:rsid w:val="00A211CD"/>
    <w:rsid w:val="00A329E6"/>
    <w:rsid w:val="00A44AC8"/>
    <w:rsid w:val="00A46F7B"/>
    <w:rsid w:val="00A50D9B"/>
    <w:rsid w:val="00A54B75"/>
    <w:rsid w:val="00A613B4"/>
    <w:rsid w:val="00A64419"/>
    <w:rsid w:val="00A774F3"/>
    <w:rsid w:val="00A840BA"/>
    <w:rsid w:val="00A85EBA"/>
    <w:rsid w:val="00AC0A40"/>
    <w:rsid w:val="00AC209A"/>
    <w:rsid w:val="00AD302D"/>
    <w:rsid w:val="00AD4130"/>
    <w:rsid w:val="00AD75D6"/>
    <w:rsid w:val="00AE0524"/>
    <w:rsid w:val="00AE7005"/>
    <w:rsid w:val="00AE7D7C"/>
    <w:rsid w:val="00AF55DC"/>
    <w:rsid w:val="00AF5E2C"/>
    <w:rsid w:val="00B03492"/>
    <w:rsid w:val="00B14EC5"/>
    <w:rsid w:val="00B15467"/>
    <w:rsid w:val="00B16829"/>
    <w:rsid w:val="00B25031"/>
    <w:rsid w:val="00B25E16"/>
    <w:rsid w:val="00B30810"/>
    <w:rsid w:val="00B6782D"/>
    <w:rsid w:val="00B67988"/>
    <w:rsid w:val="00B744AF"/>
    <w:rsid w:val="00B909C6"/>
    <w:rsid w:val="00B928FE"/>
    <w:rsid w:val="00BA6A17"/>
    <w:rsid w:val="00BB4319"/>
    <w:rsid w:val="00BB761E"/>
    <w:rsid w:val="00BC06F7"/>
    <w:rsid w:val="00BC14D7"/>
    <w:rsid w:val="00BC7607"/>
    <w:rsid w:val="00BD0A4C"/>
    <w:rsid w:val="00BD7094"/>
    <w:rsid w:val="00BE1824"/>
    <w:rsid w:val="00BF284B"/>
    <w:rsid w:val="00C04537"/>
    <w:rsid w:val="00C1048C"/>
    <w:rsid w:val="00C1312C"/>
    <w:rsid w:val="00C13904"/>
    <w:rsid w:val="00C22B82"/>
    <w:rsid w:val="00C427D7"/>
    <w:rsid w:val="00C63D81"/>
    <w:rsid w:val="00C830C3"/>
    <w:rsid w:val="00C905DF"/>
    <w:rsid w:val="00C93F1E"/>
    <w:rsid w:val="00C95C7B"/>
    <w:rsid w:val="00CB248E"/>
    <w:rsid w:val="00CC1CF1"/>
    <w:rsid w:val="00CC6F8B"/>
    <w:rsid w:val="00CD56F1"/>
    <w:rsid w:val="00CE035C"/>
    <w:rsid w:val="00D03FEC"/>
    <w:rsid w:val="00D117A1"/>
    <w:rsid w:val="00D20441"/>
    <w:rsid w:val="00D2262D"/>
    <w:rsid w:val="00D22AAF"/>
    <w:rsid w:val="00D27946"/>
    <w:rsid w:val="00D43DF4"/>
    <w:rsid w:val="00D559E8"/>
    <w:rsid w:val="00D65C88"/>
    <w:rsid w:val="00D676F1"/>
    <w:rsid w:val="00D71A13"/>
    <w:rsid w:val="00D867D3"/>
    <w:rsid w:val="00D94251"/>
    <w:rsid w:val="00D94918"/>
    <w:rsid w:val="00DA0F08"/>
    <w:rsid w:val="00DA531E"/>
    <w:rsid w:val="00DB23FE"/>
    <w:rsid w:val="00DC2646"/>
    <w:rsid w:val="00DD7985"/>
    <w:rsid w:val="00DF378A"/>
    <w:rsid w:val="00DF40FF"/>
    <w:rsid w:val="00DF6A18"/>
    <w:rsid w:val="00E01F04"/>
    <w:rsid w:val="00E037AF"/>
    <w:rsid w:val="00E03F51"/>
    <w:rsid w:val="00E0691C"/>
    <w:rsid w:val="00E07EC4"/>
    <w:rsid w:val="00E13C5D"/>
    <w:rsid w:val="00E167A3"/>
    <w:rsid w:val="00E214E0"/>
    <w:rsid w:val="00E2363D"/>
    <w:rsid w:val="00E2401C"/>
    <w:rsid w:val="00E32EF9"/>
    <w:rsid w:val="00E34071"/>
    <w:rsid w:val="00E342A9"/>
    <w:rsid w:val="00E35CC7"/>
    <w:rsid w:val="00E539FF"/>
    <w:rsid w:val="00E6748F"/>
    <w:rsid w:val="00E67679"/>
    <w:rsid w:val="00E92067"/>
    <w:rsid w:val="00E978BF"/>
    <w:rsid w:val="00E97C65"/>
    <w:rsid w:val="00EB2737"/>
    <w:rsid w:val="00EB4ADE"/>
    <w:rsid w:val="00EC1552"/>
    <w:rsid w:val="00EC431B"/>
    <w:rsid w:val="00ED2FD4"/>
    <w:rsid w:val="00EE22DC"/>
    <w:rsid w:val="00EF79EA"/>
    <w:rsid w:val="00F06DEF"/>
    <w:rsid w:val="00F10A77"/>
    <w:rsid w:val="00F22D07"/>
    <w:rsid w:val="00F31177"/>
    <w:rsid w:val="00F32435"/>
    <w:rsid w:val="00F376AC"/>
    <w:rsid w:val="00F42982"/>
    <w:rsid w:val="00F771DB"/>
    <w:rsid w:val="00F809EF"/>
    <w:rsid w:val="00F83C72"/>
    <w:rsid w:val="00F965B3"/>
    <w:rsid w:val="00FA6666"/>
    <w:rsid w:val="00FB0764"/>
    <w:rsid w:val="00FB26C7"/>
    <w:rsid w:val="00FB513E"/>
    <w:rsid w:val="00FC15F9"/>
    <w:rsid w:val="00FC4FA9"/>
    <w:rsid w:val="00FC561E"/>
    <w:rsid w:val="00FD040D"/>
    <w:rsid w:val="00FD4B8A"/>
    <w:rsid w:val="00FF2C10"/>
    <w:rsid w:val="00FF6A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48C"/>
    <w:rPr>
      <w:sz w:val="24"/>
      <w:szCs w:val="24"/>
    </w:rPr>
  </w:style>
  <w:style w:type="paragraph" w:styleId="Heading1">
    <w:name w:val="heading 1"/>
    <w:basedOn w:val="Normal"/>
    <w:next w:val="Body"/>
    <w:link w:val="Heading1Char"/>
    <w:uiPriority w:val="99"/>
    <w:qFormat/>
    <w:rsid w:val="00C1048C"/>
    <w:pPr>
      <w:keepNext/>
      <w:spacing w:before="360" w:after="120"/>
      <w:ind w:left="180"/>
      <w:outlineLvl w:val="0"/>
    </w:pPr>
    <w:rPr>
      <w:rFonts w:ascii="Baskerville" w:eastAsia="ヒラギノ角ゴ Pro W3" w:hAnsi="Baskerville"/>
      <w:b/>
      <w:caps/>
      <w:color w:val="000000"/>
      <w:szCs w:val="20"/>
      <w:lang w:eastAsia="en-GB"/>
    </w:rPr>
  </w:style>
  <w:style w:type="paragraph" w:styleId="Heading2">
    <w:name w:val="heading 2"/>
    <w:basedOn w:val="Normal"/>
    <w:next w:val="Normal"/>
    <w:link w:val="Heading2Char"/>
    <w:uiPriority w:val="99"/>
    <w:qFormat/>
    <w:locked/>
    <w:rsid w:val="004334F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9728A8"/>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09E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809E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809EF"/>
    <w:rPr>
      <w:rFonts w:ascii="Cambria" w:hAnsi="Cambria" w:cs="Times New Roman"/>
      <w:b/>
      <w:bCs/>
      <w:sz w:val="26"/>
      <w:szCs w:val="26"/>
    </w:rPr>
  </w:style>
  <w:style w:type="paragraph" w:styleId="BalloonText">
    <w:name w:val="Balloon Text"/>
    <w:basedOn w:val="Normal"/>
    <w:link w:val="BalloonTextChar"/>
    <w:uiPriority w:val="99"/>
    <w:semiHidden/>
    <w:locked/>
    <w:rsid w:val="0002650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09EF"/>
    <w:rPr>
      <w:rFonts w:cs="Times New Roman"/>
      <w:sz w:val="2"/>
    </w:rPr>
  </w:style>
  <w:style w:type="paragraph" w:customStyle="1" w:styleId="HeaderFooter">
    <w:name w:val="Header &amp; Footer"/>
    <w:uiPriority w:val="99"/>
    <w:rsid w:val="00C1048C"/>
    <w:pPr>
      <w:tabs>
        <w:tab w:val="right" w:pos="9360"/>
      </w:tabs>
    </w:pPr>
    <w:rPr>
      <w:rFonts w:ascii="Helvetica" w:eastAsia="ヒラギノ角ゴ Pro W3" w:hAnsi="Helvetica"/>
      <w:color w:val="000000"/>
      <w:sz w:val="20"/>
      <w:szCs w:val="20"/>
      <w:lang w:eastAsia="en-GB"/>
    </w:rPr>
  </w:style>
  <w:style w:type="paragraph" w:customStyle="1" w:styleId="Title1">
    <w:name w:val="Title1"/>
    <w:next w:val="Body"/>
    <w:uiPriority w:val="99"/>
    <w:rsid w:val="00C1048C"/>
    <w:pPr>
      <w:keepNext/>
      <w:ind w:left="180"/>
      <w:jc w:val="center"/>
      <w:outlineLvl w:val="0"/>
    </w:pPr>
    <w:rPr>
      <w:rFonts w:ascii="Baskerville" w:eastAsia="ヒラギノ角ゴ Pro W3" w:hAnsi="Baskerville"/>
      <w:color w:val="000000"/>
      <w:sz w:val="48"/>
      <w:szCs w:val="20"/>
      <w:lang w:eastAsia="en-GB"/>
    </w:rPr>
  </w:style>
  <w:style w:type="paragraph" w:customStyle="1" w:styleId="Body">
    <w:name w:val="Body"/>
    <w:uiPriority w:val="99"/>
    <w:rsid w:val="00C1048C"/>
    <w:pPr>
      <w:spacing w:before="120" w:after="120"/>
      <w:ind w:left="180"/>
    </w:pPr>
    <w:rPr>
      <w:rFonts w:ascii="Baskerville" w:eastAsia="ヒラギノ角ゴ Pro W3" w:hAnsi="Baskerville"/>
      <w:color w:val="000000"/>
      <w:sz w:val="24"/>
      <w:szCs w:val="20"/>
      <w:lang w:eastAsia="en-GB"/>
    </w:rPr>
  </w:style>
  <w:style w:type="paragraph" w:customStyle="1" w:styleId="Blockquote">
    <w:name w:val="Blockquote"/>
    <w:uiPriority w:val="99"/>
    <w:rsid w:val="00C1048C"/>
    <w:pPr>
      <w:ind w:left="900"/>
    </w:pPr>
    <w:rPr>
      <w:rFonts w:ascii="Baskerville" w:eastAsia="ヒラギノ角ゴ Pro W3" w:hAnsi="Baskerville"/>
      <w:color w:val="000000"/>
      <w:sz w:val="24"/>
      <w:szCs w:val="20"/>
      <w:lang w:eastAsia="en-GB"/>
    </w:rPr>
  </w:style>
  <w:style w:type="paragraph" w:customStyle="1" w:styleId="BodyBullet">
    <w:name w:val="Body Bullet"/>
    <w:uiPriority w:val="99"/>
    <w:rsid w:val="00C1048C"/>
    <w:pPr>
      <w:spacing w:before="60" w:after="60"/>
    </w:pPr>
    <w:rPr>
      <w:rFonts w:ascii="Baskerville" w:eastAsia="ヒラギノ角ゴ Pro W3" w:hAnsi="Baskerville"/>
      <w:color w:val="000000"/>
      <w:sz w:val="24"/>
      <w:szCs w:val="20"/>
      <w:lang w:eastAsia="en-GB"/>
    </w:rPr>
  </w:style>
  <w:style w:type="paragraph" w:styleId="Bibliography">
    <w:name w:val="Bibliography"/>
    <w:basedOn w:val="Normal"/>
    <w:uiPriority w:val="99"/>
    <w:rsid w:val="00C1048C"/>
    <w:pPr>
      <w:spacing w:before="120" w:after="120" w:line="288" w:lineRule="auto"/>
      <w:ind w:left="180"/>
    </w:pPr>
    <w:rPr>
      <w:rFonts w:ascii="Baskerville" w:eastAsia="ヒラギノ角ゴ Pro W3" w:hAnsi="Baskerville"/>
      <w:color w:val="000000"/>
      <w:sz w:val="22"/>
      <w:szCs w:val="20"/>
      <w:lang w:eastAsia="en-GB"/>
    </w:rPr>
  </w:style>
  <w:style w:type="character" w:styleId="CommentReference">
    <w:name w:val="annotation reference"/>
    <w:basedOn w:val="DefaultParagraphFont"/>
    <w:uiPriority w:val="99"/>
    <w:semiHidden/>
    <w:locked/>
    <w:rsid w:val="0002650D"/>
    <w:rPr>
      <w:rFonts w:cs="Times New Roman"/>
      <w:sz w:val="16"/>
      <w:szCs w:val="16"/>
    </w:rPr>
  </w:style>
  <w:style w:type="paragraph" w:styleId="CommentText">
    <w:name w:val="annotation text"/>
    <w:basedOn w:val="Normal"/>
    <w:link w:val="CommentTextChar"/>
    <w:uiPriority w:val="99"/>
    <w:semiHidden/>
    <w:locked/>
    <w:rsid w:val="0002650D"/>
    <w:rPr>
      <w:sz w:val="20"/>
      <w:szCs w:val="20"/>
    </w:rPr>
  </w:style>
  <w:style w:type="character" w:customStyle="1" w:styleId="CommentTextChar">
    <w:name w:val="Comment Text Char"/>
    <w:basedOn w:val="DefaultParagraphFont"/>
    <w:link w:val="CommentText"/>
    <w:uiPriority w:val="99"/>
    <w:semiHidden/>
    <w:locked/>
    <w:rsid w:val="00F809EF"/>
    <w:rPr>
      <w:rFonts w:cs="Times New Roman"/>
      <w:sz w:val="20"/>
      <w:szCs w:val="20"/>
    </w:rPr>
  </w:style>
  <w:style w:type="paragraph" w:styleId="CommentSubject">
    <w:name w:val="annotation subject"/>
    <w:basedOn w:val="CommentText"/>
    <w:next w:val="CommentText"/>
    <w:link w:val="CommentSubjectChar"/>
    <w:uiPriority w:val="99"/>
    <w:semiHidden/>
    <w:locked/>
    <w:rsid w:val="0002650D"/>
    <w:rPr>
      <w:b/>
      <w:bCs/>
    </w:rPr>
  </w:style>
  <w:style w:type="character" w:customStyle="1" w:styleId="CommentSubjectChar">
    <w:name w:val="Comment Subject Char"/>
    <w:basedOn w:val="CommentTextChar"/>
    <w:link w:val="CommentSubject"/>
    <w:uiPriority w:val="99"/>
    <w:semiHidden/>
    <w:locked/>
    <w:rsid w:val="00F809EF"/>
    <w:rPr>
      <w:b/>
      <w:bCs/>
    </w:rPr>
  </w:style>
  <w:style w:type="paragraph" w:styleId="FootnoteText">
    <w:name w:val="footnote text"/>
    <w:aliases w:val="Footnote text,Footnote,f,Geneva 9,Font: Geneva 9,Boston 10"/>
    <w:basedOn w:val="Normal"/>
    <w:link w:val="FootnoteTextChar"/>
    <w:uiPriority w:val="99"/>
    <w:semiHidden/>
    <w:locked/>
    <w:rsid w:val="00471225"/>
    <w:rPr>
      <w:sz w:val="20"/>
      <w:szCs w:val="20"/>
    </w:rPr>
  </w:style>
  <w:style w:type="character" w:customStyle="1" w:styleId="FootnoteTextChar">
    <w:name w:val="Footnote Text Char"/>
    <w:aliases w:val="Footnote text Char,Footnote Char,f Char,Geneva 9 Char,Font: Geneva 9 Char,Boston 10 Char"/>
    <w:basedOn w:val="DefaultParagraphFont"/>
    <w:link w:val="FootnoteText"/>
    <w:uiPriority w:val="99"/>
    <w:locked/>
    <w:rsid w:val="00E07EC4"/>
    <w:rPr>
      <w:rFonts w:cs="Times New Roman"/>
      <w:lang w:val="en-US" w:eastAsia="en-US" w:bidi="ar-SA"/>
    </w:rPr>
  </w:style>
  <w:style w:type="character" w:styleId="FootnoteReference">
    <w:name w:val="footnote reference"/>
    <w:basedOn w:val="DefaultParagraphFont"/>
    <w:uiPriority w:val="99"/>
    <w:semiHidden/>
    <w:locked/>
    <w:rsid w:val="00471225"/>
    <w:rPr>
      <w:rFonts w:cs="Times New Roman"/>
      <w:vertAlign w:val="superscript"/>
    </w:rPr>
  </w:style>
  <w:style w:type="character" w:styleId="Hyperlink">
    <w:name w:val="Hyperlink"/>
    <w:basedOn w:val="DefaultParagraphFont"/>
    <w:uiPriority w:val="99"/>
    <w:locked/>
    <w:rsid w:val="007F0091"/>
    <w:rPr>
      <w:rFonts w:cs="Times New Roman"/>
      <w:color w:val="0000FF"/>
      <w:u w:val="single"/>
    </w:rPr>
  </w:style>
  <w:style w:type="paragraph" w:styleId="Header">
    <w:name w:val="header"/>
    <w:basedOn w:val="Normal"/>
    <w:link w:val="HeaderChar"/>
    <w:uiPriority w:val="99"/>
    <w:locked/>
    <w:rsid w:val="000447AC"/>
    <w:pPr>
      <w:tabs>
        <w:tab w:val="center" w:pos="4320"/>
        <w:tab w:val="right" w:pos="8640"/>
      </w:tabs>
    </w:pPr>
  </w:style>
  <w:style w:type="character" w:customStyle="1" w:styleId="HeaderChar">
    <w:name w:val="Header Char"/>
    <w:basedOn w:val="DefaultParagraphFont"/>
    <w:link w:val="Header"/>
    <w:uiPriority w:val="99"/>
    <w:semiHidden/>
    <w:locked/>
    <w:rsid w:val="00F809EF"/>
    <w:rPr>
      <w:rFonts w:cs="Times New Roman"/>
      <w:sz w:val="24"/>
      <w:szCs w:val="24"/>
    </w:rPr>
  </w:style>
  <w:style w:type="paragraph" w:styleId="Footer">
    <w:name w:val="footer"/>
    <w:basedOn w:val="Normal"/>
    <w:link w:val="FooterChar"/>
    <w:uiPriority w:val="99"/>
    <w:locked/>
    <w:rsid w:val="000447AC"/>
    <w:pPr>
      <w:tabs>
        <w:tab w:val="center" w:pos="4320"/>
        <w:tab w:val="right" w:pos="8640"/>
      </w:tabs>
    </w:pPr>
  </w:style>
  <w:style w:type="character" w:customStyle="1" w:styleId="FooterChar">
    <w:name w:val="Footer Char"/>
    <w:basedOn w:val="DefaultParagraphFont"/>
    <w:link w:val="Footer"/>
    <w:uiPriority w:val="99"/>
    <w:semiHidden/>
    <w:locked/>
    <w:rsid w:val="00F809EF"/>
    <w:rPr>
      <w:rFonts w:cs="Times New Roman"/>
      <w:sz w:val="24"/>
      <w:szCs w:val="24"/>
    </w:rPr>
  </w:style>
  <w:style w:type="character" w:styleId="PageNumber">
    <w:name w:val="page number"/>
    <w:basedOn w:val="DefaultParagraphFont"/>
    <w:uiPriority w:val="99"/>
    <w:locked/>
    <w:rsid w:val="000447AC"/>
    <w:rPr>
      <w:rFonts w:cs="Times New Roman"/>
    </w:rPr>
  </w:style>
  <w:style w:type="paragraph" w:styleId="Title">
    <w:name w:val="Title"/>
    <w:basedOn w:val="Normal"/>
    <w:next w:val="Normal"/>
    <w:link w:val="TitleChar"/>
    <w:uiPriority w:val="99"/>
    <w:qFormat/>
    <w:locked/>
    <w:rsid w:val="00F32435"/>
    <w:pPr>
      <w:spacing w:after="120"/>
      <w:jc w:val="center"/>
      <w:outlineLvl w:val="0"/>
    </w:pPr>
    <w:rPr>
      <w:rFonts w:ascii="Arial" w:eastAsia="Arial Unicode MS" w:hAnsi="Arial" w:cs="Arial"/>
      <w:b/>
      <w:bCs/>
      <w:kern w:val="28"/>
      <w:sz w:val="28"/>
      <w:szCs w:val="28"/>
      <w:lang w:val="en-GB" w:eastAsia="zh-CN"/>
    </w:rPr>
  </w:style>
  <w:style w:type="character" w:customStyle="1" w:styleId="TitleChar">
    <w:name w:val="Title Char"/>
    <w:basedOn w:val="DefaultParagraphFont"/>
    <w:link w:val="Title"/>
    <w:uiPriority w:val="99"/>
    <w:locked/>
    <w:rsid w:val="00F809EF"/>
    <w:rPr>
      <w:rFonts w:ascii="Cambria" w:hAnsi="Cambria" w:cs="Times New Roman"/>
      <w:b/>
      <w:bCs/>
      <w:kern w:val="28"/>
      <w:sz w:val="32"/>
      <w:szCs w:val="32"/>
    </w:rPr>
  </w:style>
  <w:style w:type="paragraph" w:customStyle="1" w:styleId="msolistparagraph0">
    <w:name w:val="msolistparagraph"/>
    <w:basedOn w:val="Normal"/>
    <w:uiPriority w:val="99"/>
    <w:rsid w:val="00B928FE"/>
    <w:pPr>
      <w:ind w:left="720"/>
    </w:pPr>
    <w:rPr>
      <w:rFonts w:eastAsia="MS Mincho"/>
      <w:lang w:eastAsia="ja-JP"/>
    </w:rPr>
  </w:style>
  <w:style w:type="paragraph" w:styleId="NormalWeb">
    <w:name w:val="Normal (Web)"/>
    <w:basedOn w:val="Normal"/>
    <w:uiPriority w:val="99"/>
    <w:locked/>
    <w:rsid w:val="00742C84"/>
    <w:pPr>
      <w:spacing w:before="100" w:beforeAutospacing="1" w:after="100" w:afterAutospacing="1"/>
    </w:pPr>
    <w:rPr>
      <w:rFonts w:ascii="Arial Unicode MS" w:eastAsia="Arial Unicode MS" w:hAnsi="Arial Unicode MS" w:cs="Arial Unicode MS"/>
      <w:lang w:val="es-ES" w:eastAsia="es-ES"/>
    </w:rPr>
  </w:style>
  <w:style w:type="character" w:styleId="LineNumber">
    <w:name w:val="line number"/>
    <w:basedOn w:val="DefaultParagraphFont"/>
    <w:uiPriority w:val="99"/>
    <w:locked/>
    <w:rsid w:val="00525EF8"/>
    <w:rPr>
      <w:rFonts w:cs="Times New Roman"/>
    </w:rPr>
  </w:style>
  <w:style w:type="character" w:styleId="Strong">
    <w:name w:val="Strong"/>
    <w:basedOn w:val="DefaultParagraphFont"/>
    <w:uiPriority w:val="99"/>
    <w:qFormat/>
    <w:locked/>
    <w:rsid w:val="004334F6"/>
    <w:rPr>
      <w:rFonts w:cs="Times New Roman"/>
      <w:b/>
      <w:bCs/>
    </w:rPr>
  </w:style>
  <w:style w:type="character" w:styleId="Emphasis">
    <w:name w:val="Emphasis"/>
    <w:basedOn w:val="DefaultParagraphFont"/>
    <w:uiPriority w:val="99"/>
    <w:qFormat/>
    <w:locked/>
    <w:rsid w:val="009728A8"/>
    <w:rPr>
      <w:rFonts w:cs="Times New Roman"/>
      <w:i/>
      <w:iCs/>
    </w:rPr>
  </w:style>
  <w:style w:type="paragraph" w:styleId="HTMLPreformatted">
    <w:name w:val="HTML Preformatted"/>
    <w:basedOn w:val="Normal"/>
    <w:link w:val="HTMLPreformattedChar"/>
    <w:uiPriority w:val="99"/>
    <w:locked/>
    <w:rsid w:val="00BA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locked/>
    <w:rsid w:val="00F809EF"/>
    <w:rPr>
      <w:rFonts w:ascii="Courier New" w:hAnsi="Courier New" w:cs="Courier New"/>
      <w:sz w:val="20"/>
      <w:szCs w:val="20"/>
    </w:rPr>
  </w:style>
  <w:style w:type="character" w:styleId="HTMLCode">
    <w:name w:val="HTML Code"/>
    <w:basedOn w:val="DefaultParagraphFont"/>
    <w:uiPriority w:val="99"/>
    <w:locked/>
    <w:rsid w:val="00BA6A17"/>
    <w:rPr>
      <w:rFonts w:ascii="Courier New" w:eastAsia="MS Mincho"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choose/zero/" TargetMode="External"/><Relationship Id="rId13" Type="http://schemas.openxmlformats.org/officeDocument/2006/relationships/hyperlink" Target="http://data.norge.no/nlo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reativecommons.org/choose/mark/" TargetMode="External"/><Relationship Id="rId12" Type="http://schemas.openxmlformats.org/officeDocument/2006/relationships/hyperlink" Target="http://www.nationalarchives.gov.uk/doc/open-government-licen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datacommons.org/licenses/b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creativecommons.org/licenses/by/3.0/legalcode" TargetMode="External"/><Relationship Id="rId4" Type="http://schemas.openxmlformats.org/officeDocument/2006/relationships/webSettings" Target="webSettings.xml"/><Relationship Id="rId9" Type="http://schemas.openxmlformats.org/officeDocument/2006/relationships/hyperlink" Target="http://www.opendatacommons.org/licenses/pddl/1-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1370</Words>
  <Characters>7810</Characters>
  <Application>Microsoft Office Outlook</Application>
  <DocSecurity>0</DocSecurity>
  <Lines>0</Lines>
  <Paragraphs>0</Paragraphs>
  <ScaleCrop>false</ScaleCrop>
  <Manager> </Manager>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puhlir</cp:lastModifiedBy>
  <cp:revision>4</cp:revision>
  <dcterms:created xsi:type="dcterms:W3CDTF">2011-06-05T20:26:00Z</dcterms:created>
  <dcterms:modified xsi:type="dcterms:W3CDTF">2011-06-08T20:07:00Z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sAAAXRTqSjcrLAryZzn2xMuSaEj87hM/hmCSpxiGTpxR7Vo=</vt:lpwstr>
  </property>
  <property fmtid="{D5CDD505-2E9C-101B-9397-08002B2CF9AE}" pid="3" name="MAIL_MSG_ID1">
    <vt:lpwstr>gFAAvvm1OVlBaXFFXQdLxD79w1l9AZYwD89l3ZWOwhBJ1zrtcroMP8upvsu/cBTrfeFM380gyCj4nFCw2vRFHIynC5tdGbsoAmJq3FEThpb2GbNtynckHdihpYIx75K401nbMjRvIkXdzeKw2vRFHIynC5tdGbsoAmJq3FEThpb2GbNtynckHdihpbIS9vo0REKo3oKMi6fPB7lxQQI0PlSeO5vpYYtL6L5B6AkdSmvkGdPmRvRcgYkOx</vt:lpwstr>
  </property>
  <property fmtid="{D5CDD505-2E9C-101B-9397-08002B2CF9AE}" pid="4" name="EMAIL_OWNER_ADDRESS">
    <vt:lpwstr>ABAAmJ+7jnJ2eOVdTydz61dYPucR/ZEo0s+hJ6gQ5q2KHzwBXfGwr7yqFYdZArC1+7jD</vt:lpwstr>
  </property>
  <property fmtid="{D5CDD505-2E9C-101B-9397-08002B2CF9AE}" pid="5" name="MAIL_MSG_ID2">
    <vt:lpwstr>zVbc5qi/Mg3foxxCjoYvF2oaPWDPsvV8lP2K6ewMLX49E5he6ax/tdeFQFRqTY14cMZPYxO6zARkhTD3N1K431GfQIcDKUpFg==</vt:lpwstr>
  </property>
  <property fmtid="{D5CDD505-2E9C-101B-9397-08002B2CF9AE}" pid="6" name="_NewReviewCycle">
    <vt:lpwstr/>
  </property>
</Properties>
</file>