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840" w:rsidRPr="00601840" w:rsidRDefault="00601840" w:rsidP="008E4363">
      <w:pPr>
        <w:pStyle w:val="Title"/>
      </w:pPr>
      <w:bookmarkStart w:id="0" w:name="_GoBack"/>
      <w:bookmarkEnd w:id="0"/>
      <w:r w:rsidRPr="00601840">
        <w:t xml:space="preserve">DATA Act:  One-Page Summary for FDP </w:t>
      </w:r>
    </w:p>
    <w:p w:rsidR="00601840" w:rsidRPr="00601840" w:rsidRDefault="00601840" w:rsidP="008E4363">
      <w:pPr>
        <w:pStyle w:val="Subtitle"/>
        <w:jc w:val="center"/>
      </w:pPr>
      <w:r w:rsidRPr="00601840">
        <w:t>FDP Open Government Subcommittee - July 1, 2014</w:t>
      </w:r>
    </w:p>
    <w:p w:rsidR="006F6656" w:rsidRPr="008E4363" w:rsidRDefault="006F6656" w:rsidP="008E4363">
      <w:pPr>
        <w:pStyle w:val="Heading1"/>
        <w:rPr>
          <w:rStyle w:val="Strong"/>
        </w:rPr>
      </w:pPr>
      <w:r w:rsidRPr="008E4363">
        <w:rPr>
          <w:rStyle w:val="Strong"/>
        </w:rPr>
        <w:t>Background</w:t>
      </w:r>
    </w:p>
    <w:p w:rsidR="00AA754D" w:rsidRDefault="00E75E4F" w:rsidP="00E75E4F">
      <w:r w:rsidRPr="00E75E4F">
        <w:t xml:space="preserve">The </w:t>
      </w:r>
      <w:r w:rsidR="00601840" w:rsidRPr="00601840">
        <w:rPr>
          <w:u w:val="single"/>
        </w:rPr>
        <w:t>D</w:t>
      </w:r>
      <w:r w:rsidR="00601840" w:rsidRPr="00601840">
        <w:t xml:space="preserve">igital </w:t>
      </w:r>
      <w:r w:rsidR="00601840" w:rsidRPr="00601840">
        <w:rPr>
          <w:u w:val="single"/>
        </w:rPr>
        <w:t>A</w:t>
      </w:r>
      <w:r w:rsidR="00601840" w:rsidRPr="00601840">
        <w:t xml:space="preserve">ccountability and </w:t>
      </w:r>
      <w:r w:rsidR="00601840" w:rsidRPr="00601840">
        <w:rPr>
          <w:u w:val="single"/>
        </w:rPr>
        <w:t>T</w:t>
      </w:r>
      <w:r w:rsidR="00601840" w:rsidRPr="00601840">
        <w:t xml:space="preserve">ransparency </w:t>
      </w:r>
      <w:r w:rsidR="00601840" w:rsidRPr="00601840">
        <w:rPr>
          <w:u w:val="single"/>
        </w:rPr>
        <w:t>Act</w:t>
      </w:r>
      <w:r w:rsidR="00601840" w:rsidRPr="00601840">
        <w:t xml:space="preserve"> of 2014</w:t>
      </w:r>
      <w:r w:rsidR="00601840">
        <w:t xml:space="preserve"> (Public Law 113-101) </w:t>
      </w:r>
      <w:r w:rsidR="00AA754D">
        <w:t xml:space="preserve">was </w:t>
      </w:r>
      <w:r w:rsidR="00601840">
        <w:t>signed by President Obama on 5/9/2014.</w:t>
      </w:r>
      <w:r w:rsidR="00AA754D">
        <w:t xml:space="preserve">  This law amends the existing FFATA (Transparency Act) requirements for making the details of Federal spending more transparent to the public.  Like FFATA, USASpending.gov will be the primary source for public information under this law.  It will contain data supplied by both Federal agencies and by Federal contractors/grantees.</w:t>
      </w:r>
    </w:p>
    <w:p w:rsidR="00AA754D" w:rsidRPr="008E4363" w:rsidRDefault="006F6656" w:rsidP="008E4363">
      <w:pPr>
        <w:pStyle w:val="Heading1"/>
        <w:rPr>
          <w:rStyle w:val="Strong"/>
        </w:rPr>
      </w:pPr>
      <w:r w:rsidRPr="008E4363">
        <w:rPr>
          <w:rStyle w:val="Strong"/>
        </w:rPr>
        <w:t>Grantee</w:t>
      </w:r>
      <w:r w:rsidR="00CE2A09" w:rsidRPr="008E4363">
        <w:rPr>
          <w:rStyle w:val="Strong"/>
        </w:rPr>
        <w:t>/Contractor</w:t>
      </w:r>
      <w:r w:rsidRPr="008E4363">
        <w:rPr>
          <w:rStyle w:val="Strong"/>
        </w:rPr>
        <w:t xml:space="preserve"> Reporting Requirements</w:t>
      </w:r>
    </w:p>
    <w:p w:rsidR="00CE2A09" w:rsidRDefault="003C7CDB" w:rsidP="00702A6F">
      <w:r>
        <w:t>Few</w:t>
      </w:r>
      <w:r w:rsidR="00CE2A09">
        <w:t xml:space="preserve"> specific requirements </w:t>
      </w:r>
      <w:r w:rsidR="00702A6F">
        <w:t xml:space="preserve">were </w:t>
      </w:r>
      <w:r w:rsidR="00CE2A09">
        <w:t xml:space="preserve">included in the Act.  Instead, OMB and Treasury have one year to </w:t>
      </w:r>
      <w:r>
        <w:t>define common data elements for financial and payment information reporting.  This must be done in coordination with public and private stakeholders.</w:t>
      </w:r>
      <w:r w:rsidR="008E4363" w:rsidRPr="008E4363">
        <w:t xml:space="preserve"> </w:t>
      </w:r>
      <w:r w:rsidR="008E4363">
        <w:t>Reporting by grantees/contractors must begin no later than two years after these data elements are finalized by OMB/Treasury (three years after enactment).</w:t>
      </w:r>
    </w:p>
    <w:p w:rsidR="003C7CDB" w:rsidRDefault="003C7CDB" w:rsidP="00702A6F">
      <w:pPr>
        <w:pStyle w:val="ListParagraph"/>
        <w:numPr>
          <w:ilvl w:val="0"/>
          <w:numId w:val="6"/>
        </w:numPr>
      </w:pPr>
      <w:r>
        <w:t xml:space="preserve">A </w:t>
      </w:r>
      <w:r w:rsidRPr="00DD140E">
        <w:rPr>
          <w:b/>
        </w:rPr>
        <w:t>unique Federal identifier</w:t>
      </w:r>
      <w:r>
        <w:t xml:space="preserve"> will be required for all awards </w:t>
      </w:r>
    </w:p>
    <w:p w:rsidR="008E4363" w:rsidRDefault="003C7CDB" w:rsidP="00702A6F">
      <w:pPr>
        <w:pStyle w:val="ListParagraph"/>
        <w:numPr>
          <w:ilvl w:val="0"/>
          <w:numId w:val="6"/>
        </w:numPr>
      </w:pPr>
      <w:r>
        <w:t xml:space="preserve">DATA Act does not specify reporting </w:t>
      </w:r>
      <w:r w:rsidRPr="00DD140E">
        <w:rPr>
          <w:b/>
        </w:rPr>
        <w:t>frequency or level</w:t>
      </w:r>
      <w:r>
        <w:t xml:space="preserve"> of </w:t>
      </w:r>
      <w:r w:rsidR="007334A8">
        <w:t xml:space="preserve">subaward reporting </w:t>
      </w:r>
    </w:p>
    <w:p w:rsidR="00702A6F" w:rsidRDefault="003C7CDB" w:rsidP="00702A6F">
      <w:pPr>
        <w:pStyle w:val="ListParagraph"/>
        <w:numPr>
          <w:ilvl w:val="0"/>
          <w:numId w:val="6"/>
        </w:numPr>
      </w:pPr>
      <w:r>
        <w:t xml:space="preserve">FDP anticipates reporting will </w:t>
      </w:r>
      <w:r w:rsidR="00CC456D">
        <w:t>build upon</w:t>
      </w:r>
      <w:r>
        <w:t xml:space="preserve"> existing FFATA reporting requirements.</w:t>
      </w:r>
    </w:p>
    <w:p w:rsidR="006F6656" w:rsidRPr="008E4363" w:rsidRDefault="006F6656" w:rsidP="008E4363">
      <w:pPr>
        <w:pStyle w:val="Heading1"/>
        <w:rPr>
          <w:rStyle w:val="Strong"/>
        </w:rPr>
      </w:pPr>
      <w:r w:rsidRPr="008E4363">
        <w:rPr>
          <w:rStyle w:val="Strong"/>
        </w:rPr>
        <w:t>Reductions in Grantee Reporting Burden</w:t>
      </w:r>
    </w:p>
    <w:p w:rsidR="00A205C3" w:rsidRPr="00A205C3" w:rsidRDefault="00A205C3">
      <w:r>
        <w:t>The law includes a variety of provisions to ensure</w:t>
      </w:r>
      <w:r w:rsidR="00DD140E">
        <w:t xml:space="preserve"> </w:t>
      </w:r>
      <w:r w:rsidR="00DD140E" w:rsidRPr="00BA2981">
        <w:t>that the</w:t>
      </w:r>
      <w:r>
        <w:t xml:space="preserve"> DATA Act </w:t>
      </w:r>
      <w:r w:rsidR="00801BB1">
        <w:t>do</w:t>
      </w:r>
      <w:r w:rsidR="00DD140E" w:rsidRPr="00BA2981">
        <w:t>es</w:t>
      </w:r>
      <w:r>
        <w:t xml:space="preserve"> not end up significantly increasing administrative burden of Federal recipients.  </w:t>
      </w:r>
      <w:r w:rsidR="00801BB1">
        <w:t>This may include changes to both transparency reporting as well as recipient financial reporting requirements.</w:t>
      </w:r>
    </w:p>
    <w:p w:rsidR="00801BB1" w:rsidRDefault="00801BB1" w:rsidP="00801BB1">
      <w:pPr>
        <w:pStyle w:val="ListParagraph"/>
        <w:numPr>
          <w:ilvl w:val="0"/>
          <w:numId w:val="6"/>
        </w:numPr>
      </w:pPr>
      <w:r>
        <w:t>Once data elements are finalized a t</w:t>
      </w:r>
      <w:r w:rsidR="00601840" w:rsidRPr="00601840">
        <w:t xml:space="preserve">wo-year pilot program </w:t>
      </w:r>
      <w:r>
        <w:t xml:space="preserve">(covering $1 - $2 billion in awards) begins </w:t>
      </w:r>
      <w:r w:rsidR="00601840" w:rsidRPr="00601840">
        <w:t xml:space="preserve">to evaluate </w:t>
      </w:r>
      <w:r>
        <w:t xml:space="preserve">the burden and effectiveness of the new requirements.  </w:t>
      </w:r>
    </w:p>
    <w:p w:rsidR="00915124" w:rsidRPr="00601840" w:rsidRDefault="00801BB1" w:rsidP="00801BB1">
      <w:pPr>
        <w:pStyle w:val="ListParagraph"/>
        <w:numPr>
          <w:ilvl w:val="0"/>
          <w:numId w:val="6"/>
        </w:numPr>
      </w:pPr>
      <w:r>
        <w:t xml:space="preserve">A report on the </w:t>
      </w:r>
      <w:r w:rsidRPr="00DD140E">
        <w:rPr>
          <w:b/>
        </w:rPr>
        <w:t>Pilot</w:t>
      </w:r>
      <w:r>
        <w:t xml:space="preserve"> must be issued after the first year with recommendations on:</w:t>
      </w:r>
    </w:p>
    <w:p w:rsidR="00915124" w:rsidRPr="00601840" w:rsidRDefault="00601840" w:rsidP="00801BB1">
      <w:pPr>
        <w:pStyle w:val="ListParagraph"/>
        <w:numPr>
          <w:ilvl w:val="1"/>
          <w:numId w:val="6"/>
        </w:numPr>
      </w:pPr>
      <w:r w:rsidRPr="00601840">
        <w:t>Standardiz</w:t>
      </w:r>
      <w:r w:rsidR="00801BB1">
        <w:t>ing</w:t>
      </w:r>
      <w:r w:rsidRPr="00601840">
        <w:t xml:space="preserve"> reporting elements, </w:t>
      </w:r>
    </w:p>
    <w:p w:rsidR="00915124" w:rsidRPr="00601840" w:rsidRDefault="00601840" w:rsidP="00801BB1">
      <w:pPr>
        <w:pStyle w:val="ListParagraph"/>
        <w:numPr>
          <w:ilvl w:val="1"/>
          <w:numId w:val="6"/>
        </w:numPr>
      </w:pPr>
      <w:r w:rsidRPr="00601840">
        <w:t>Eliminat</w:t>
      </w:r>
      <w:r w:rsidR="00801BB1">
        <w:t>ing</w:t>
      </w:r>
      <w:r w:rsidRPr="00601840">
        <w:t xml:space="preserve"> financial reporting duplication, </w:t>
      </w:r>
    </w:p>
    <w:p w:rsidR="00915124" w:rsidRPr="00601840" w:rsidRDefault="00601840" w:rsidP="00801BB1">
      <w:pPr>
        <w:pStyle w:val="ListParagraph"/>
        <w:numPr>
          <w:ilvl w:val="1"/>
          <w:numId w:val="6"/>
        </w:numPr>
      </w:pPr>
      <w:r w:rsidRPr="00601840">
        <w:t>Reduc</w:t>
      </w:r>
      <w:r w:rsidR="00801BB1">
        <w:t>ing</w:t>
      </w:r>
      <w:r w:rsidRPr="00601840">
        <w:t xml:space="preserve"> compliance costs</w:t>
      </w:r>
      <w:r w:rsidR="00801BB1">
        <w:t>, and</w:t>
      </w:r>
    </w:p>
    <w:p w:rsidR="005A0338" w:rsidRDefault="00601840" w:rsidP="007334A8">
      <w:pPr>
        <w:pStyle w:val="ListParagraph"/>
        <w:numPr>
          <w:ilvl w:val="1"/>
          <w:numId w:val="6"/>
        </w:numPr>
      </w:pPr>
      <w:r w:rsidRPr="00601840">
        <w:t>Automat</w:t>
      </w:r>
      <w:r w:rsidR="00801BB1">
        <w:t>ing</w:t>
      </w:r>
      <w:r w:rsidRPr="00601840">
        <w:t xml:space="preserve"> financial reporting to increase efficiency and reduce recipient costs.</w:t>
      </w:r>
    </w:p>
    <w:p w:rsidR="00952F77" w:rsidRPr="008E4363" w:rsidRDefault="00952F77" w:rsidP="00952F77">
      <w:pPr>
        <w:pStyle w:val="Heading1"/>
        <w:rPr>
          <w:rStyle w:val="Strong"/>
        </w:rPr>
      </w:pPr>
      <w:r w:rsidRPr="008E4363">
        <w:rPr>
          <w:rStyle w:val="Strong"/>
        </w:rPr>
        <w:t>Federal Agency Reporting Requirements</w:t>
      </w:r>
    </w:p>
    <w:p w:rsidR="00952F77" w:rsidRPr="00601840" w:rsidRDefault="00952F77" w:rsidP="00952F77">
      <w:r>
        <w:t>Agencies will continue to report award-specific information to USASpending.gov in line with requirements laid out by Treasury.  Additionally, agencies will report at least quarterly on the following information based on yearly approp</w:t>
      </w:r>
      <w:r w:rsidR="00DD140E">
        <w:t>riations</w:t>
      </w:r>
      <w:r>
        <w:t>:</w:t>
      </w:r>
    </w:p>
    <w:p w:rsidR="00952F77" w:rsidRPr="00601840" w:rsidRDefault="00952F77" w:rsidP="00952F77">
      <w:pPr>
        <w:pStyle w:val="ListParagraph"/>
        <w:numPr>
          <w:ilvl w:val="0"/>
          <w:numId w:val="6"/>
        </w:numPr>
      </w:pPr>
      <w:r>
        <w:t>A</w:t>
      </w:r>
      <w:r w:rsidRPr="00601840">
        <w:t>mount appropriated</w:t>
      </w:r>
      <w:r>
        <w:t xml:space="preserve"> and</w:t>
      </w:r>
      <w:r w:rsidRPr="00601840">
        <w:t xml:space="preserve"> obligated</w:t>
      </w:r>
      <w:r>
        <w:t xml:space="preserve"> for each appropriations account,</w:t>
      </w:r>
    </w:p>
    <w:p w:rsidR="00952F77" w:rsidRPr="00601840" w:rsidRDefault="00952F77" w:rsidP="00952F77">
      <w:pPr>
        <w:pStyle w:val="ListParagraph"/>
        <w:numPr>
          <w:ilvl w:val="0"/>
          <w:numId w:val="6"/>
        </w:numPr>
      </w:pPr>
      <w:r>
        <w:t>A</w:t>
      </w:r>
      <w:r w:rsidRPr="00601840">
        <w:t>mount of funds obligated/</w:t>
      </w:r>
      <w:proofErr w:type="spellStart"/>
      <w:r w:rsidRPr="00601840">
        <w:t>outlayed</w:t>
      </w:r>
      <w:proofErr w:type="spellEnd"/>
      <w:r w:rsidRPr="00601840">
        <w:t xml:space="preserve"> for each </w:t>
      </w:r>
      <w:r>
        <w:t>Federal budget program activity,</w:t>
      </w:r>
    </w:p>
    <w:p w:rsidR="00952F77" w:rsidRPr="00601840" w:rsidRDefault="00952F77" w:rsidP="00952F77">
      <w:pPr>
        <w:pStyle w:val="ListParagraph"/>
        <w:numPr>
          <w:ilvl w:val="0"/>
          <w:numId w:val="6"/>
        </w:numPr>
      </w:pPr>
      <w:r>
        <w:t>A</w:t>
      </w:r>
      <w:r w:rsidRPr="00601840">
        <w:t>mount of funds obligated/</w:t>
      </w:r>
      <w:proofErr w:type="spellStart"/>
      <w:r w:rsidRPr="00601840">
        <w:t>outlayed</w:t>
      </w:r>
      <w:proofErr w:type="spellEnd"/>
      <w:r w:rsidRPr="00601840">
        <w:t xml:space="preserve"> for each </w:t>
      </w:r>
      <w:r>
        <w:t>budget object class, and</w:t>
      </w:r>
    </w:p>
    <w:p w:rsidR="00952F77" w:rsidRPr="00601840" w:rsidRDefault="00952F77" w:rsidP="00952F77">
      <w:pPr>
        <w:pStyle w:val="ListParagraph"/>
        <w:numPr>
          <w:ilvl w:val="0"/>
          <w:numId w:val="6"/>
        </w:numPr>
      </w:pPr>
      <w:r>
        <w:t>A</w:t>
      </w:r>
      <w:r w:rsidRPr="00601840">
        <w:t xml:space="preserve">mount obligated (by object class) for each </w:t>
      </w:r>
      <w:r>
        <w:t>Federal budget program activity.</w:t>
      </w:r>
    </w:p>
    <w:p w:rsidR="00952F77" w:rsidRDefault="00952F77" w:rsidP="007334A8">
      <w:pPr>
        <w:sectPr w:rsidR="00952F77" w:rsidSect="00CC45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5A0338" w:rsidRPr="00601840" w:rsidRDefault="008E4363" w:rsidP="008E4363">
      <w:pPr>
        <w:pStyle w:val="Title"/>
      </w:pPr>
      <w:r>
        <w:lastRenderedPageBreak/>
        <w:t xml:space="preserve">DATA Act:  </w:t>
      </w:r>
      <w:r w:rsidR="005A0338">
        <w:t xml:space="preserve">Timeline </w:t>
      </w:r>
      <w:r w:rsidR="005A0338" w:rsidRPr="00601840">
        <w:t>for FDP Institutions</w:t>
      </w:r>
    </w:p>
    <w:p w:rsidR="005A0338" w:rsidRPr="00601840" w:rsidRDefault="005A0338" w:rsidP="00025263">
      <w:pPr>
        <w:pStyle w:val="Subtitle"/>
        <w:jc w:val="center"/>
      </w:pPr>
      <w:r w:rsidRPr="00601840">
        <w:t>FDP Open Government Subcommittee - July 1, 2014</w:t>
      </w:r>
    </w:p>
    <w:p w:rsidR="007334A8" w:rsidRDefault="007334A8" w:rsidP="007334A8"/>
    <w:tbl>
      <w:tblPr>
        <w:tblStyle w:val="TableGrid"/>
        <w:tblW w:w="0" w:type="auto"/>
        <w:tblLook w:val="04A0" w:firstRow="1" w:lastRow="0" w:firstColumn="1" w:lastColumn="0" w:noHBand="0" w:noVBand="1"/>
      </w:tblPr>
      <w:tblGrid>
        <w:gridCol w:w="2088"/>
        <w:gridCol w:w="7488"/>
      </w:tblGrid>
      <w:tr w:rsidR="005A0338" w:rsidTr="005A0338">
        <w:tc>
          <w:tcPr>
            <w:tcW w:w="2088" w:type="dxa"/>
          </w:tcPr>
          <w:p w:rsidR="005A0338" w:rsidRDefault="005A0338" w:rsidP="007334A8">
            <w:r>
              <w:t>May 9, 2014</w:t>
            </w:r>
          </w:p>
        </w:tc>
        <w:tc>
          <w:tcPr>
            <w:tcW w:w="7488" w:type="dxa"/>
          </w:tcPr>
          <w:p w:rsidR="005A0338" w:rsidRDefault="005A0338" w:rsidP="007334A8">
            <w:r>
              <w:t>DATA Act signed into law (Public Law 113-101)</w:t>
            </w:r>
          </w:p>
        </w:tc>
      </w:tr>
      <w:tr w:rsidR="005A0338" w:rsidTr="005A0338">
        <w:tc>
          <w:tcPr>
            <w:tcW w:w="2088" w:type="dxa"/>
          </w:tcPr>
          <w:p w:rsidR="005A0338" w:rsidRDefault="005A0338" w:rsidP="007334A8">
            <w:r>
              <w:t>May 9, 2015</w:t>
            </w:r>
          </w:p>
        </w:tc>
        <w:tc>
          <w:tcPr>
            <w:tcW w:w="7488" w:type="dxa"/>
          </w:tcPr>
          <w:p w:rsidR="005A0338" w:rsidRDefault="005A0338" w:rsidP="007334A8">
            <w:r>
              <w:t xml:space="preserve">OMB and Treasury finalize </w:t>
            </w:r>
            <w:r w:rsidR="00FC2C75">
              <w:t xml:space="preserve">government-wide financial </w:t>
            </w:r>
            <w:r w:rsidR="00382CFD">
              <w:t>standards,</w:t>
            </w:r>
            <w:r w:rsidR="00FC2C75">
              <w:t xml:space="preserve"> including common data elements, unique award identifiers, and fields.</w:t>
            </w:r>
          </w:p>
        </w:tc>
      </w:tr>
      <w:tr w:rsidR="005A0338" w:rsidTr="005A0338">
        <w:tc>
          <w:tcPr>
            <w:tcW w:w="2088" w:type="dxa"/>
          </w:tcPr>
          <w:p w:rsidR="005A0338" w:rsidRDefault="005A0338" w:rsidP="007334A8"/>
        </w:tc>
        <w:tc>
          <w:tcPr>
            <w:tcW w:w="7488" w:type="dxa"/>
          </w:tcPr>
          <w:p w:rsidR="005A0338" w:rsidRDefault="00FC2C75" w:rsidP="007334A8">
            <w:r>
              <w:t>Begin pilot program on recipient reporting based on common data elements defined by OMB and Treasury</w:t>
            </w:r>
          </w:p>
        </w:tc>
      </w:tr>
      <w:tr w:rsidR="00FC2C75" w:rsidTr="005A0338">
        <w:tc>
          <w:tcPr>
            <w:tcW w:w="2088" w:type="dxa"/>
          </w:tcPr>
          <w:p w:rsidR="00FC2C75" w:rsidRDefault="00FC2C75" w:rsidP="00337425">
            <w:r>
              <w:t>May 9, 2016</w:t>
            </w:r>
          </w:p>
        </w:tc>
        <w:tc>
          <w:tcPr>
            <w:tcW w:w="7488" w:type="dxa"/>
          </w:tcPr>
          <w:p w:rsidR="00FC2C75" w:rsidRDefault="00382CFD" w:rsidP="007334A8">
            <w:r>
              <w:t>Initial report due to Congress on lessons learned from pilot reporting program</w:t>
            </w:r>
          </w:p>
        </w:tc>
      </w:tr>
      <w:tr w:rsidR="00382CFD" w:rsidTr="005A0338">
        <w:tc>
          <w:tcPr>
            <w:tcW w:w="2088" w:type="dxa"/>
          </w:tcPr>
          <w:p w:rsidR="00382CFD" w:rsidRDefault="00382CFD" w:rsidP="00337425">
            <w:r>
              <w:t>May 9, 2017</w:t>
            </w:r>
          </w:p>
        </w:tc>
        <w:tc>
          <w:tcPr>
            <w:tcW w:w="7488" w:type="dxa"/>
          </w:tcPr>
          <w:p w:rsidR="00382CFD" w:rsidRDefault="00382CFD" w:rsidP="00337425">
            <w:r>
              <w:t>Recipient reporting begins on all Federal funds based on common data elements defined by OMB and Treasury</w:t>
            </w:r>
          </w:p>
        </w:tc>
      </w:tr>
      <w:tr w:rsidR="00382CFD" w:rsidTr="005A0338">
        <w:tc>
          <w:tcPr>
            <w:tcW w:w="2088" w:type="dxa"/>
          </w:tcPr>
          <w:p w:rsidR="00382CFD" w:rsidRDefault="00382CFD" w:rsidP="007334A8"/>
        </w:tc>
        <w:tc>
          <w:tcPr>
            <w:tcW w:w="7488" w:type="dxa"/>
          </w:tcPr>
          <w:p w:rsidR="00382CFD" w:rsidRDefault="00382CFD" w:rsidP="007334A8">
            <w:r>
              <w:t>Agency reporting begins on spending from each appropriations account</w:t>
            </w:r>
          </w:p>
        </w:tc>
      </w:tr>
      <w:tr w:rsidR="00382CFD" w:rsidTr="005A0338">
        <w:tc>
          <w:tcPr>
            <w:tcW w:w="2088" w:type="dxa"/>
          </w:tcPr>
          <w:p w:rsidR="00382CFD" w:rsidRDefault="00382CFD" w:rsidP="007334A8"/>
        </w:tc>
        <w:tc>
          <w:tcPr>
            <w:tcW w:w="7488" w:type="dxa"/>
          </w:tcPr>
          <w:p w:rsidR="00382CFD" w:rsidRDefault="00382CFD" w:rsidP="007334A8">
            <w:r>
              <w:t>Pilot program on recipient reporting ends</w:t>
            </w:r>
          </w:p>
        </w:tc>
      </w:tr>
    </w:tbl>
    <w:p w:rsidR="005A0338" w:rsidRDefault="005A0338" w:rsidP="007334A8"/>
    <w:sectPr w:rsidR="005A0338" w:rsidSect="00CC45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BA" w:rsidRDefault="001417BA" w:rsidP="00757482">
      <w:r>
        <w:separator/>
      </w:r>
    </w:p>
  </w:endnote>
  <w:endnote w:type="continuationSeparator" w:id="0">
    <w:p w:rsidR="001417BA" w:rsidRDefault="001417BA" w:rsidP="0075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82" w:rsidRDefault="007574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82" w:rsidRDefault="007574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82" w:rsidRDefault="00757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BA" w:rsidRDefault="001417BA" w:rsidP="00757482">
      <w:r>
        <w:separator/>
      </w:r>
    </w:p>
  </w:footnote>
  <w:footnote w:type="continuationSeparator" w:id="0">
    <w:p w:rsidR="001417BA" w:rsidRDefault="001417BA" w:rsidP="0075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82" w:rsidRDefault="007574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82" w:rsidRDefault="007574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82" w:rsidRDefault="00757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03A59"/>
    <w:multiLevelType w:val="hybridMultilevel"/>
    <w:tmpl w:val="52BE9F4C"/>
    <w:lvl w:ilvl="0" w:tplc="CBEA7AF4">
      <w:start w:val="1"/>
      <w:numFmt w:val="bullet"/>
      <w:lvlText w:val="•"/>
      <w:lvlJc w:val="left"/>
      <w:pPr>
        <w:tabs>
          <w:tab w:val="num" w:pos="720"/>
        </w:tabs>
        <w:ind w:left="720" w:hanging="360"/>
      </w:pPr>
      <w:rPr>
        <w:rFonts w:ascii="Georgia" w:hAnsi="Georgia" w:hint="default"/>
      </w:rPr>
    </w:lvl>
    <w:lvl w:ilvl="1" w:tplc="5F1871FC">
      <w:start w:val="148"/>
      <w:numFmt w:val="bullet"/>
      <w:lvlText w:val="▫"/>
      <w:lvlJc w:val="left"/>
      <w:pPr>
        <w:tabs>
          <w:tab w:val="num" w:pos="1440"/>
        </w:tabs>
        <w:ind w:left="1440" w:hanging="360"/>
      </w:pPr>
      <w:rPr>
        <w:rFonts w:ascii="Georgia" w:hAnsi="Georgia" w:hint="default"/>
      </w:rPr>
    </w:lvl>
    <w:lvl w:ilvl="2" w:tplc="44222398" w:tentative="1">
      <w:start w:val="1"/>
      <w:numFmt w:val="bullet"/>
      <w:lvlText w:val="•"/>
      <w:lvlJc w:val="left"/>
      <w:pPr>
        <w:tabs>
          <w:tab w:val="num" w:pos="2160"/>
        </w:tabs>
        <w:ind w:left="2160" w:hanging="360"/>
      </w:pPr>
      <w:rPr>
        <w:rFonts w:ascii="Georgia" w:hAnsi="Georgia" w:hint="default"/>
      </w:rPr>
    </w:lvl>
    <w:lvl w:ilvl="3" w:tplc="DD4C274A" w:tentative="1">
      <w:start w:val="1"/>
      <w:numFmt w:val="bullet"/>
      <w:lvlText w:val="•"/>
      <w:lvlJc w:val="left"/>
      <w:pPr>
        <w:tabs>
          <w:tab w:val="num" w:pos="2880"/>
        </w:tabs>
        <w:ind w:left="2880" w:hanging="360"/>
      </w:pPr>
      <w:rPr>
        <w:rFonts w:ascii="Georgia" w:hAnsi="Georgia" w:hint="default"/>
      </w:rPr>
    </w:lvl>
    <w:lvl w:ilvl="4" w:tplc="8938B102" w:tentative="1">
      <w:start w:val="1"/>
      <w:numFmt w:val="bullet"/>
      <w:lvlText w:val="•"/>
      <w:lvlJc w:val="left"/>
      <w:pPr>
        <w:tabs>
          <w:tab w:val="num" w:pos="3600"/>
        </w:tabs>
        <w:ind w:left="3600" w:hanging="360"/>
      </w:pPr>
      <w:rPr>
        <w:rFonts w:ascii="Georgia" w:hAnsi="Georgia" w:hint="default"/>
      </w:rPr>
    </w:lvl>
    <w:lvl w:ilvl="5" w:tplc="1B307BB2" w:tentative="1">
      <w:start w:val="1"/>
      <w:numFmt w:val="bullet"/>
      <w:lvlText w:val="•"/>
      <w:lvlJc w:val="left"/>
      <w:pPr>
        <w:tabs>
          <w:tab w:val="num" w:pos="4320"/>
        </w:tabs>
        <w:ind w:left="4320" w:hanging="360"/>
      </w:pPr>
      <w:rPr>
        <w:rFonts w:ascii="Georgia" w:hAnsi="Georgia" w:hint="default"/>
      </w:rPr>
    </w:lvl>
    <w:lvl w:ilvl="6" w:tplc="C046CE22" w:tentative="1">
      <w:start w:val="1"/>
      <w:numFmt w:val="bullet"/>
      <w:lvlText w:val="•"/>
      <w:lvlJc w:val="left"/>
      <w:pPr>
        <w:tabs>
          <w:tab w:val="num" w:pos="5040"/>
        </w:tabs>
        <w:ind w:left="5040" w:hanging="360"/>
      </w:pPr>
      <w:rPr>
        <w:rFonts w:ascii="Georgia" w:hAnsi="Georgia" w:hint="default"/>
      </w:rPr>
    </w:lvl>
    <w:lvl w:ilvl="7" w:tplc="6F380F12" w:tentative="1">
      <w:start w:val="1"/>
      <w:numFmt w:val="bullet"/>
      <w:lvlText w:val="•"/>
      <w:lvlJc w:val="left"/>
      <w:pPr>
        <w:tabs>
          <w:tab w:val="num" w:pos="5760"/>
        </w:tabs>
        <w:ind w:left="5760" w:hanging="360"/>
      </w:pPr>
      <w:rPr>
        <w:rFonts w:ascii="Georgia" w:hAnsi="Georgia" w:hint="default"/>
      </w:rPr>
    </w:lvl>
    <w:lvl w:ilvl="8" w:tplc="61E02438" w:tentative="1">
      <w:start w:val="1"/>
      <w:numFmt w:val="bullet"/>
      <w:lvlText w:val="•"/>
      <w:lvlJc w:val="left"/>
      <w:pPr>
        <w:tabs>
          <w:tab w:val="num" w:pos="6480"/>
        </w:tabs>
        <w:ind w:left="6480" w:hanging="360"/>
      </w:pPr>
      <w:rPr>
        <w:rFonts w:ascii="Georgia" w:hAnsi="Georgia" w:hint="default"/>
      </w:rPr>
    </w:lvl>
  </w:abstractNum>
  <w:abstractNum w:abstractNumId="1">
    <w:nsid w:val="4D3C315A"/>
    <w:multiLevelType w:val="hybridMultilevel"/>
    <w:tmpl w:val="123E536E"/>
    <w:lvl w:ilvl="0" w:tplc="131C7FBA">
      <w:start w:val="1"/>
      <w:numFmt w:val="bullet"/>
      <w:lvlText w:val="•"/>
      <w:lvlJc w:val="left"/>
      <w:pPr>
        <w:tabs>
          <w:tab w:val="num" w:pos="720"/>
        </w:tabs>
        <w:ind w:left="720" w:hanging="360"/>
      </w:pPr>
      <w:rPr>
        <w:rFonts w:ascii="Georgia" w:hAnsi="Georgia" w:hint="default"/>
      </w:rPr>
    </w:lvl>
    <w:lvl w:ilvl="1" w:tplc="A25AEBBA">
      <w:start w:val="148"/>
      <w:numFmt w:val="bullet"/>
      <w:lvlText w:val="▫"/>
      <w:lvlJc w:val="left"/>
      <w:pPr>
        <w:tabs>
          <w:tab w:val="num" w:pos="1440"/>
        </w:tabs>
        <w:ind w:left="1440" w:hanging="360"/>
      </w:pPr>
      <w:rPr>
        <w:rFonts w:ascii="Georgia" w:hAnsi="Georgia" w:hint="default"/>
      </w:rPr>
    </w:lvl>
    <w:lvl w:ilvl="2" w:tplc="F6361F26">
      <w:start w:val="148"/>
      <w:numFmt w:val="bullet"/>
      <w:lvlText w:val=""/>
      <w:lvlJc w:val="left"/>
      <w:pPr>
        <w:tabs>
          <w:tab w:val="num" w:pos="2160"/>
        </w:tabs>
        <w:ind w:left="2160" w:hanging="360"/>
      </w:pPr>
      <w:rPr>
        <w:rFonts w:ascii="Wingdings 2" w:hAnsi="Wingdings 2" w:hint="default"/>
      </w:rPr>
    </w:lvl>
    <w:lvl w:ilvl="3" w:tplc="675EEAD0" w:tentative="1">
      <w:start w:val="1"/>
      <w:numFmt w:val="bullet"/>
      <w:lvlText w:val="•"/>
      <w:lvlJc w:val="left"/>
      <w:pPr>
        <w:tabs>
          <w:tab w:val="num" w:pos="2880"/>
        </w:tabs>
        <w:ind w:left="2880" w:hanging="360"/>
      </w:pPr>
      <w:rPr>
        <w:rFonts w:ascii="Georgia" w:hAnsi="Georgia" w:hint="default"/>
      </w:rPr>
    </w:lvl>
    <w:lvl w:ilvl="4" w:tplc="D4D22EEA" w:tentative="1">
      <w:start w:val="1"/>
      <w:numFmt w:val="bullet"/>
      <w:lvlText w:val="•"/>
      <w:lvlJc w:val="left"/>
      <w:pPr>
        <w:tabs>
          <w:tab w:val="num" w:pos="3600"/>
        </w:tabs>
        <w:ind w:left="3600" w:hanging="360"/>
      </w:pPr>
      <w:rPr>
        <w:rFonts w:ascii="Georgia" w:hAnsi="Georgia" w:hint="default"/>
      </w:rPr>
    </w:lvl>
    <w:lvl w:ilvl="5" w:tplc="36523F60" w:tentative="1">
      <w:start w:val="1"/>
      <w:numFmt w:val="bullet"/>
      <w:lvlText w:val="•"/>
      <w:lvlJc w:val="left"/>
      <w:pPr>
        <w:tabs>
          <w:tab w:val="num" w:pos="4320"/>
        </w:tabs>
        <w:ind w:left="4320" w:hanging="360"/>
      </w:pPr>
      <w:rPr>
        <w:rFonts w:ascii="Georgia" w:hAnsi="Georgia" w:hint="default"/>
      </w:rPr>
    </w:lvl>
    <w:lvl w:ilvl="6" w:tplc="B71C3CC6" w:tentative="1">
      <w:start w:val="1"/>
      <w:numFmt w:val="bullet"/>
      <w:lvlText w:val="•"/>
      <w:lvlJc w:val="left"/>
      <w:pPr>
        <w:tabs>
          <w:tab w:val="num" w:pos="5040"/>
        </w:tabs>
        <w:ind w:left="5040" w:hanging="360"/>
      </w:pPr>
      <w:rPr>
        <w:rFonts w:ascii="Georgia" w:hAnsi="Georgia" w:hint="default"/>
      </w:rPr>
    </w:lvl>
    <w:lvl w:ilvl="7" w:tplc="E11CA890" w:tentative="1">
      <w:start w:val="1"/>
      <w:numFmt w:val="bullet"/>
      <w:lvlText w:val="•"/>
      <w:lvlJc w:val="left"/>
      <w:pPr>
        <w:tabs>
          <w:tab w:val="num" w:pos="5760"/>
        </w:tabs>
        <w:ind w:left="5760" w:hanging="360"/>
      </w:pPr>
      <w:rPr>
        <w:rFonts w:ascii="Georgia" w:hAnsi="Georgia" w:hint="default"/>
      </w:rPr>
    </w:lvl>
    <w:lvl w:ilvl="8" w:tplc="1D5E016A" w:tentative="1">
      <w:start w:val="1"/>
      <w:numFmt w:val="bullet"/>
      <w:lvlText w:val="•"/>
      <w:lvlJc w:val="left"/>
      <w:pPr>
        <w:tabs>
          <w:tab w:val="num" w:pos="6480"/>
        </w:tabs>
        <w:ind w:left="6480" w:hanging="360"/>
      </w:pPr>
      <w:rPr>
        <w:rFonts w:ascii="Georgia" w:hAnsi="Georgia" w:hint="default"/>
      </w:rPr>
    </w:lvl>
  </w:abstractNum>
  <w:abstractNum w:abstractNumId="2">
    <w:nsid w:val="6315705E"/>
    <w:multiLevelType w:val="hybridMultilevel"/>
    <w:tmpl w:val="0958E470"/>
    <w:lvl w:ilvl="0" w:tplc="240A0738">
      <w:start w:val="1"/>
      <w:numFmt w:val="bullet"/>
      <w:lvlText w:val="•"/>
      <w:lvlJc w:val="left"/>
      <w:pPr>
        <w:tabs>
          <w:tab w:val="num" w:pos="720"/>
        </w:tabs>
        <w:ind w:left="720" w:hanging="360"/>
      </w:pPr>
      <w:rPr>
        <w:rFonts w:ascii="Georgia" w:hAnsi="Georgia" w:hint="default"/>
      </w:rPr>
    </w:lvl>
    <w:lvl w:ilvl="1" w:tplc="4C107DCC">
      <w:start w:val="148"/>
      <w:numFmt w:val="bullet"/>
      <w:lvlText w:val="▫"/>
      <w:lvlJc w:val="left"/>
      <w:pPr>
        <w:tabs>
          <w:tab w:val="num" w:pos="1440"/>
        </w:tabs>
        <w:ind w:left="1440" w:hanging="360"/>
      </w:pPr>
      <w:rPr>
        <w:rFonts w:ascii="Georgia" w:hAnsi="Georgia" w:hint="default"/>
      </w:rPr>
    </w:lvl>
    <w:lvl w:ilvl="2" w:tplc="70304ACA" w:tentative="1">
      <w:start w:val="1"/>
      <w:numFmt w:val="bullet"/>
      <w:lvlText w:val="•"/>
      <w:lvlJc w:val="left"/>
      <w:pPr>
        <w:tabs>
          <w:tab w:val="num" w:pos="2160"/>
        </w:tabs>
        <w:ind w:left="2160" w:hanging="360"/>
      </w:pPr>
      <w:rPr>
        <w:rFonts w:ascii="Georgia" w:hAnsi="Georgia" w:hint="default"/>
      </w:rPr>
    </w:lvl>
    <w:lvl w:ilvl="3" w:tplc="7750A7E4" w:tentative="1">
      <w:start w:val="1"/>
      <w:numFmt w:val="bullet"/>
      <w:lvlText w:val="•"/>
      <w:lvlJc w:val="left"/>
      <w:pPr>
        <w:tabs>
          <w:tab w:val="num" w:pos="2880"/>
        </w:tabs>
        <w:ind w:left="2880" w:hanging="360"/>
      </w:pPr>
      <w:rPr>
        <w:rFonts w:ascii="Georgia" w:hAnsi="Georgia" w:hint="default"/>
      </w:rPr>
    </w:lvl>
    <w:lvl w:ilvl="4" w:tplc="5C627232" w:tentative="1">
      <w:start w:val="1"/>
      <w:numFmt w:val="bullet"/>
      <w:lvlText w:val="•"/>
      <w:lvlJc w:val="left"/>
      <w:pPr>
        <w:tabs>
          <w:tab w:val="num" w:pos="3600"/>
        </w:tabs>
        <w:ind w:left="3600" w:hanging="360"/>
      </w:pPr>
      <w:rPr>
        <w:rFonts w:ascii="Georgia" w:hAnsi="Georgia" w:hint="default"/>
      </w:rPr>
    </w:lvl>
    <w:lvl w:ilvl="5" w:tplc="7ADE0F20" w:tentative="1">
      <w:start w:val="1"/>
      <w:numFmt w:val="bullet"/>
      <w:lvlText w:val="•"/>
      <w:lvlJc w:val="left"/>
      <w:pPr>
        <w:tabs>
          <w:tab w:val="num" w:pos="4320"/>
        </w:tabs>
        <w:ind w:left="4320" w:hanging="360"/>
      </w:pPr>
      <w:rPr>
        <w:rFonts w:ascii="Georgia" w:hAnsi="Georgia" w:hint="default"/>
      </w:rPr>
    </w:lvl>
    <w:lvl w:ilvl="6" w:tplc="899C88CA" w:tentative="1">
      <w:start w:val="1"/>
      <w:numFmt w:val="bullet"/>
      <w:lvlText w:val="•"/>
      <w:lvlJc w:val="left"/>
      <w:pPr>
        <w:tabs>
          <w:tab w:val="num" w:pos="5040"/>
        </w:tabs>
        <w:ind w:left="5040" w:hanging="360"/>
      </w:pPr>
      <w:rPr>
        <w:rFonts w:ascii="Georgia" w:hAnsi="Georgia" w:hint="default"/>
      </w:rPr>
    </w:lvl>
    <w:lvl w:ilvl="7" w:tplc="3AEA8FA8" w:tentative="1">
      <w:start w:val="1"/>
      <w:numFmt w:val="bullet"/>
      <w:lvlText w:val="•"/>
      <w:lvlJc w:val="left"/>
      <w:pPr>
        <w:tabs>
          <w:tab w:val="num" w:pos="5760"/>
        </w:tabs>
        <w:ind w:left="5760" w:hanging="360"/>
      </w:pPr>
      <w:rPr>
        <w:rFonts w:ascii="Georgia" w:hAnsi="Georgia" w:hint="default"/>
      </w:rPr>
    </w:lvl>
    <w:lvl w:ilvl="8" w:tplc="87C86788" w:tentative="1">
      <w:start w:val="1"/>
      <w:numFmt w:val="bullet"/>
      <w:lvlText w:val="•"/>
      <w:lvlJc w:val="left"/>
      <w:pPr>
        <w:tabs>
          <w:tab w:val="num" w:pos="6480"/>
        </w:tabs>
        <w:ind w:left="6480" w:hanging="360"/>
      </w:pPr>
      <w:rPr>
        <w:rFonts w:ascii="Georgia" w:hAnsi="Georgia" w:hint="default"/>
      </w:rPr>
    </w:lvl>
  </w:abstractNum>
  <w:abstractNum w:abstractNumId="3">
    <w:nsid w:val="63377A81"/>
    <w:multiLevelType w:val="hybridMultilevel"/>
    <w:tmpl w:val="180AB348"/>
    <w:lvl w:ilvl="0" w:tplc="8904D854">
      <w:start w:val="1"/>
      <w:numFmt w:val="bullet"/>
      <w:lvlText w:val="•"/>
      <w:lvlJc w:val="left"/>
      <w:pPr>
        <w:tabs>
          <w:tab w:val="num" w:pos="720"/>
        </w:tabs>
        <w:ind w:left="720" w:hanging="360"/>
      </w:pPr>
      <w:rPr>
        <w:rFonts w:ascii="Georgia" w:hAnsi="Georgia" w:hint="default"/>
      </w:rPr>
    </w:lvl>
    <w:lvl w:ilvl="1" w:tplc="C3BA5F4A" w:tentative="1">
      <w:start w:val="1"/>
      <w:numFmt w:val="bullet"/>
      <w:lvlText w:val="•"/>
      <w:lvlJc w:val="left"/>
      <w:pPr>
        <w:tabs>
          <w:tab w:val="num" w:pos="1440"/>
        </w:tabs>
        <w:ind w:left="1440" w:hanging="360"/>
      </w:pPr>
      <w:rPr>
        <w:rFonts w:ascii="Georgia" w:hAnsi="Georgia" w:hint="default"/>
      </w:rPr>
    </w:lvl>
    <w:lvl w:ilvl="2" w:tplc="F3B4D500" w:tentative="1">
      <w:start w:val="1"/>
      <w:numFmt w:val="bullet"/>
      <w:lvlText w:val="•"/>
      <w:lvlJc w:val="left"/>
      <w:pPr>
        <w:tabs>
          <w:tab w:val="num" w:pos="2160"/>
        </w:tabs>
        <w:ind w:left="2160" w:hanging="360"/>
      </w:pPr>
      <w:rPr>
        <w:rFonts w:ascii="Georgia" w:hAnsi="Georgia" w:hint="default"/>
      </w:rPr>
    </w:lvl>
    <w:lvl w:ilvl="3" w:tplc="FF8645E8" w:tentative="1">
      <w:start w:val="1"/>
      <w:numFmt w:val="bullet"/>
      <w:lvlText w:val="•"/>
      <w:lvlJc w:val="left"/>
      <w:pPr>
        <w:tabs>
          <w:tab w:val="num" w:pos="2880"/>
        </w:tabs>
        <w:ind w:left="2880" w:hanging="360"/>
      </w:pPr>
      <w:rPr>
        <w:rFonts w:ascii="Georgia" w:hAnsi="Georgia" w:hint="default"/>
      </w:rPr>
    </w:lvl>
    <w:lvl w:ilvl="4" w:tplc="4328B272" w:tentative="1">
      <w:start w:val="1"/>
      <w:numFmt w:val="bullet"/>
      <w:lvlText w:val="•"/>
      <w:lvlJc w:val="left"/>
      <w:pPr>
        <w:tabs>
          <w:tab w:val="num" w:pos="3600"/>
        </w:tabs>
        <w:ind w:left="3600" w:hanging="360"/>
      </w:pPr>
      <w:rPr>
        <w:rFonts w:ascii="Georgia" w:hAnsi="Georgia" w:hint="default"/>
      </w:rPr>
    </w:lvl>
    <w:lvl w:ilvl="5" w:tplc="5DC82970" w:tentative="1">
      <w:start w:val="1"/>
      <w:numFmt w:val="bullet"/>
      <w:lvlText w:val="•"/>
      <w:lvlJc w:val="left"/>
      <w:pPr>
        <w:tabs>
          <w:tab w:val="num" w:pos="4320"/>
        </w:tabs>
        <w:ind w:left="4320" w:hanging="360"/>
      </w:pPr>
      <w:rPr>
        <w:rFonts w:ascii="Georgia" w:hAnsi="Georgia" w:hint="default"/>
      </w:rPr>
    </w:lvl>
    <w:lvl w:ilvl="6" w:tplc="12B89274" w:tentative="1">
      <w:start w:val="1"/>
      <w:numFmt w:val="bullet"/>
      <w:lvlText w:val="•"/>
      <w:lvlJc w:val="left"/>
      <w:pPr>
        <w:tabs>
          <w:tab w:val="num" w:pos="5040"/>
        </w:tabs>
        <w:ind w:left="5040" w:hanging="360"/>
      </w:pPr>
      <w:rPr>
        <w:rFonts w:ascii="Georgia" w:hAnsi="Georgia" w:hint="default"/>
      </w:rPr>
    </w:lvl>
    <w:lvl w:ilvl="7" w:tplc="F8F2123E" w:tentative="1">
      <w:start w:val="1"/>
      <w:numFmt w:val="bullet"/>
      <w:lvlText w:val="•"/>
      <w:lvlJc w:val="left"/>
      <w:pPr>
        <w:tabs>
          <w:tab w:val="num" w:pos="5760"/>
        </w:tabs>
        <w:ind w:left="5760" w:hanging="360"/>
      </w:pPr>
      <w:rPr>
        <w:rFonts w:ascii="Georgia" w:hAnsi="Georgia" w:hint="default"/>
      </w:rPr>
    </w:lvl>
    <w:lvl w:ilvl="8" w:tplc="27F41D3C" w:tentative="1">
      <w:start w:val="1"/>
      <w:numFmt w:val="bullet"/>
      <w:lvlText w:val="•"/>
      <w:lvlJc w:val="left"/>
      <w:pPr>
        <w:tabs>
          <w:tab w:val="num" w:pos="6480"/>
        </w:tabs>
        <w:ind w:left="6480" w:hanging="360"/>
      </w:pPr>
      <w:rPr>
        <w:rFonts w:ascii="Georgia" w:hAnsi="Georgia" w:hint="default"/>
      </w:rPr>
    </w:lvl>
  </w:abstractNum>
  <w:abstractNum w:abstractNumId="4">
    <w:nsid w:val="6EDE0AE9"/>
    <w:multiLevelType w:val="hybridMultilevel"/>
    <w:tmpl w:val="82A0A9AC"/>
    <w:lvl w:ilvl="0" w:tplc="B69ADC72">
      <w:start w:val="1"/>
      <w:numFmt w:val="bullet"/>
      <w:lvlText w:val="•"/>
      <w:lvlJc w:val="left"/>
      <w:pPr>
        <w:tabs>
          <w:tab w:val="num" w:pos="720"/>
        </w:tabs>
        <w:ind w:left="720" w:hanging="360"/>
      </w:pPr>
      <w:rPr>
        <w:rFonts w:ascii="Georgia" w:hAnsi="Georgia" w:hint="default"/>
      </w:rPr>
    </w:lvl>
    <w:lvl w:ilvl="1" w:tplc="A7C6CEDE">
      <w:start w:val="1"/>
      <w:numFmt w:val="bullet"/>
      <w:lvlText w:val="•"/>
      <w:lvlJc w:val="left"/>
      <w:pPr>
        <w:tabs>
          <w:tab w:val="num" w:pos="1440"/>
        </w:tabs>
        <w:ind w:left="1440" w:hanging="360"/>
      </w:pPr>
      <w:rPr>
        <w:rFonts w:ascii="Georgia" w:hAnsi="Georgia" w:hint="default"/>
      </w:rPr>
    </w:lvl>
    <w:lvl w:ilvl="2" w:tplc="DB3E855E" w:tentative="1">
      <w:start w:val="1"/>
      <w:numFmt w:val="bullet"/>
      <w:lvlText w:val="•"/>
      <w:lvlJc w:val="left"/>
      <w:pPr>
        <w:tabs>
          <w:tab w:val="num" w:pos="2160"/>
        </w:tabs>
        <w:ind w:left="2160" w:hanging="360"/>
      </w:pPr>
      <w:rPr>
        <w:rFonts w:ascii="Georgia" w:hAnsi="Georgia" w:hint="default"/>
      </w:rPr>
    </w:lvl>
    <w:lvl w:ilvl="3" w:tplc="E0000070" w:tentative="1">
      <w:start w:val="1"/>
      <w:numFmt w:val="bullet"/>
      <w:lvlText w:val="•"/>
      <w:lvlJc w:val="left"/>
      <w:pPr>
        <w:tabs>
          <w:tab w:val="num" w:pos="2880"/>
        </w:tabs>
        <w:ind w:left="2880" w:hanging="360"/>
      </w:pPr>
      <w:rPr>
        <w:rFonts w:ascii="Georgia" w:hAnsi="Georgia" w:hint="default"/>
      </w:rPr>
    </w:lvl>
    <w:lvl w:ilvl="4" w:tplc="2A44F48E" w:tentative="1">
      <w:start w:val="1"/>
      <w:numFmt w:val="bullet"/>
      <w:lvlText w:val="•"/>
      <w:lvlJc w:val="left"/>
      <w:pPr>
        <w:tabs>
          <w:tab w:val="num" w:pos="3600"/>
        </w:tabs>
        <w:ind w:left="3600" w:hanging="360"/>
      </w:pPr>
      <w:rPr>
        <w:rFonts w:ascii="Georgia" w:hAnsi="Georgia" w:hint="default"/>
      </w:rPr>
    </w:lvl>
    <w:lvl w:ilvl="5" w:tplc="A78ADE6C" w:tentative="1">
      <w:start w:val="1"/>
      <w:numFmt w:val="bullet"/>
      <w:lvlText w:val="•"/>
      <w:lvlJc w:val="left"/>
      <w:pPr>
        <w:tabs>
          <w:tab w:val="num" w:pos="4320"/>
        </w:tabs>
        <w:ind w:left="4320" w:hanging="360"/>
      </w:pPr>
      <w:rPr>
        <w:rFonts w:ascii="Georgia" w:hAnsi="Georgia" w:hint="default"/>
      </w:rPr>
    </w:lvl>
    <w:lvl w:ilvl="6" w:tplc="75966DC0" w:tentative="1">
      <w:start w:val="1"/>
      <w:numFmt w:val="bullet"/>
      <w:lvlText w:val="•"/>
      <w:lvlJc w:val="left"/>
      <w:pPr>
        <w:tabs>
          <w:tab w:val="num" w:pos="5040"/>
        </w:tabs>
        <w:ind w:left="5040" w:hanging="360"/>
      </w:pPr>
      <w:rPr>
        <w:rFonts w:ascii="Georgia" w:hAnsi="Georgia" w:hint="default"/>
      </w:rPr>
    </w:lvl>
    <w:lvl w:ilvl="7" w:tplc="C2BE95CA" w:tentative="1">
      <w:start w:val="1"/>
      <w:numFmt w:val="bullet"/>
      <w:lvlText w:val="•"/>
      <w:lvlJc w:val="left"/>
      <w:pPr>
        <w:tabs>
          <w:tab w:val="num" w:pos="5760"/>
        </w:tabs>
        <w:ind w:left="5760" w:hanging="360"/>
      </w:pPr>
      <w:rPr>
        <w:rFonts w:ascii="Georgia" w:hAnsi="Georgia" w:hint="default"/>
      </w:rPr>
    </w:lvl>
    <w:lvl w:ilvl="8" w:tplc="FFF8638C" w:tentative="1">
      <w:start w:val="1"/>
      <w:numFmt w:val="bullet"/>
      <w:lvlText w:val="•"/>
      <w:lvlJc w:val="left"/>
      <w:pPr>
        <w:tabs>
          <w:tab w:val="num" w:pos="6480"/>
        </w:tabs>
        <w:ind w:left="6480" w:hanging="360"/>
      </w:pPr>
      <w:rPr>
        <w:rFonts w:ascii="Georgia" w:hAnsi="Georgia" w:hint="default"/>
      </w:rPr>
    </w:lvl>
  </w:abstractNum>
  <w:abstractNum w:abstractNumId="5">
    <w:nsid w:val="7CE11A16"/>
    <w:multiLevelType w:val="hybridMultilevel"/>
    <w:tmpl w:val="F682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40"/>
    <w:rsid w:val="00013D6F"/>
    <w:rsid w:val="00025263"/>
    <w:rsid w:val="00036F3D"/>
    <w:rsid w:val="0005565A"/>
    <w:rsid w:val="00080FAA"/>
    <w:rsid w:val="000C1FF2"/>
    <w:rsid w:val="000C5EBA"/>
    <w:rsid w:val="001417BA"/>
    <w:rsid w:val="001C1FD5"/>
    <w:rsid w:val="001D5037"/>
    <w:rsid w:val="00221478"/>
    <w:rsid w:val="00260D02"/>
    <w:rsid w:val="002A72E7"/>
    <w:rsid w:val="003575B3"/>
    <w:rsid w:val="00361D4D"/>
    <w:rsid w:val="00382CFD"/>
    <w:rsid w:val="003A0492"/>
    <w:rsid w:val="003C7CDB"/>
    <w:rsid w:val="003E2F43"/>
    <w:rsid w:val="00483208"/>
    <w:rsid w:val="004A240A"/>
    <w:rsid w:val="004D14A9"/>
    <w:rsid w:val="005333A6"/>
    <w:rsid w:val="005555FC"/>
    <w:rsid w:val="00556307"/>
    <w:rsid w:val="005960D4"/>
    <w:rsid w:val="005A0338"/>
    <w:rsid w:val="005F1765"/>
    <w:rsid w:val="00601840"/>
    <w:rsid w:val="006468D9"/>
    <w:rsid w:val="00695A6C"/>
    <w:rsid w:val="006B37DE"/>
    <w:rsid w:val="006C1BCF"/>
    <w:rsid w:val="006F38D5"/>
    <w:rsid w:val="006F6656"/>
    <w:rsid w:val="00702A6F"/>
    <w:rsid w:val="0072009B"/>
    <w:rsid w:val="007334A8"/>
    <w:rsid w:val="00757482"/>
    <w:rsid w:val="007653B1"/>
    <w:rsid w:val="007663E7"/>
    <w:rsid w:val="00783864"/>
    <w:rsid w:val="007A648A"/>
    <w:rsid w:val="007B5282"/>
    <w:rsid w:val="00801BB1"/>
    <w:rsid w:val="0080373F"/>
    <w:rsid w:val="00803F52"/>
    <w:rsid w:val="0086571F"/>
    <w:rsid w:val="00891C65"/>
    <w:rsid w:val="00893E26"/>
    <w:rsid w:val="00897B9C"/>
    <w:rsid w:val="008C7D71"/>
    <w:rsid w:val="008E4363"/>
    <w:rsid w:val="008F0277"/>
    <w:rsid w:val="009122FF"/>
    <w:rsid w:val="00915124"/>
    <w:rsid w:val="0092210A"/>
    <w:rsid w:val="00952F77"/>
    <w:rsid w:val="009531E4"/>
    <w:rsid w:val="00971E72"/>
    <w:rsid w:val="009E128A"/>
    <w:rsid w:val="009F34A6"/>
    <w:rsid w:val="009F3CD5"/>
    <w:rsid w:val="00A015D5"/>
    <w:rsid w:val="00A072E2"/>
    <w:rsid w:val="00A1382B"/>
    <w:rsid w:val="00A205C3"/>
    <w:rsid w:val="00A21A7E"/>
    <w:rsid w:val="00A42006"/>
    <w:rsid w:val="00A63626"/>
    <w:rsid w:val="00A72A09"/>
    <w:rsid w:val="00A74EBA"/>
    <w:rsid w:val="00A95AC0"/>
    <w:rsid w:val="00A97523"/>
    <w:rsid w:val="00AA754D"/>
    <w:rsid w:val="00B72A1D"/>
    <w:rsid w:val="00B736E8"/>
    <w:rsid w:val="00BA2981"/>
    <w:rsid w:val="00C04EEB"/>
    <w:rsid w:val="00C15EE6"/>
    <w:rsid w:val="00C26EAF"/>
    <w:rsid w:val="00C4724F"/>
    <w:rsid w:val="00C51C6A"/>
    <w:rsid w:val="00C735F3"/>
    <w:rsid w:val="00C9376D"/>
    <w:rsid w:val="00CC456D"/>
    <w:rsid w:val="00CE2A09"/>
    <w:rsid w:val="00CE536C"/>
    <w:rsid w:val="00D53ED7"/>
    <w:rsid w:val="00D6799D"/>
    <w:rsid w:val="00D82089"/>
    <w:rsid w:val="00D82EFD"/>
    <w:rsid w:val="00D904A4"/>
    <w:rsid w:val="00DA114A"/>
    <w:rsid w:val="00DA5A9D"/>
    <w:rsid w:val="00DC783B"/>
    <w:rsid w:val="00DD140E"/>
    <w:rsid w:val="00E15D39"/>
    <w:rsid w:val="00E41C43"/>
    <w:rsid w:val="00E75E4F"/>
    <w:rsid w:val="00F73C41"/>
    <w:rsid w:val="00FB345E"/>
    <w:rsid w:val="00FC2C75"/>
    <w:rsid w:val="00FE40E8"/>
    <w:rsid w:val="00FE69A9"/>
    <w:rsid w:val="00FE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5D5"/>
    <w:rPr>
      <w:sz w:val="24"/>
      <w:szCs w:val="24"/>
    </w:rPr>
  </w:style>
  <w:style w:type="paragraph" w:styleId="Heading1">
    <w:name w:val="heading 1"/>
    <w:basedOn w:val="Normal"/>
    <w:next w:val="Normal"/>
    <w:link w:val="Heading1Char"/>
    <w:qFormat/>
    <w:rsid w:val="000252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A09"/>
    <w:pPr>
      <w:ind w:left="720"/>
      <w:contextualSpacing/>
    </w:pPr>
  </w:style>
  <w:style w:type="paragraph" w:styleId="Header">
    <w:name w:val="header"/>
    <w:basedOn w:val="Normal"/>
    <w:link w:val="HeaderChar"/>
    <w:rsid w:val="00757482"/>
    <w:pPr>
      <w:tabs>
        <w:tab w:val="center" w:pos="4680"/>
        <w:tab w:val="right" w:pos="9360"/>
      </w:tabs>
    </w:pPr>
  </w:style>
  <w:style w:type="character" w:customStyle="1" w:styleId="HeaderChar">
    <w:name w:val="Header Char"/>
    <w:basedOn w:val="DefaultParagraphFont"/>
    <w:link w:val="Header"/>
    <w:rsid w:val="00757482"/>
    <w:rPr>
      <w:sz w:val="24"/>
      <w:szCs w:val="24"/>
    </w:rPr>
  </w:style>
  <w:style w:type="paragraph" w:styleId="Footer">
    <w:name w:val="footer"/>
    <w:basedOn w:val="Normal"/>
    <w:link w:val="FooterChar"/>
    <w:rsid w:val="00757482"/>
    <w:pPr>
      <w:tabs>
        <w:tab w:val="center" w:pos="4680"/>
        <w:tab w:val="right" w:pos="9360"/>
      </w:tabs>
    </w:pPr>
  </w:style>
  <w:style w:type="character" w:customStyle="1" w:styleId="FooterChar">
    <w:name w:val="Footer Char"/>
    <w:basedOn w:val="DefaultParagraphFont"/>
    <w:link w:val="Footer"/>
    <w:rsid w:val="00757482"/>
    <w:rPr>
      <w:sz w:val="24"/>
      <w:szCs w:val="24"/>
    </w:rPr>
  </w:style>
  <w:style w:type="table" w:styleId="TableGrid">
    <w:name w:val="Table Grid"/>
    <w:basedOn w:val="TableNormal"/>
    <w:rsid w:val="005A0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2526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025263"/>
    <w:rPr>
      <w:i/>
      <w:iCs/>
    </w:rPr>
  </w:style>
  <w:style w:type="paragraph" w:styleId="Subtitle">
    <w:name w:val="Subtitle"/>
    <w:basedOn w:val="Normal"/>
    <w:next w:val="Normal"/>
    <w:link w:val="SubtitleChar"/>
    <w:qFormat/>
    <w:rsid w:val="0002526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2526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8E4363"/>
    <w:rPr>
      <w:b/>
      <w:bCs/>
    </w:rPr>
  </w:style>
  <w:style w:type="paragraph" w:styleId="Title">
    <w:name w:val="Title"/>
    <w:basedOn w:val="Normal"/>
    <w:next w:val="Normal"/>
    <w:link w:val="TitleChar"/>
    <w:qFormat/>
    <w:rsid w:val="008E43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E436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5D5"/>
    <w:rPr>
      <w:sz w:val="24"/>
      <w:szCs w:val="24"/>
    </w:rPr>
  </w:style>
  <w:style w:type="paragraph" w:styleId="Heading1">
    <w:name w:val="heading 1"/>
    <w:basedOn w:val="Normal"/>
    <w:next w:val="Normal"/>
    <w:link w:val="Heading1Char"/>
    <w:qFormat/>
    <w:rsid w:val="000252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A09"/>
    <w:pPr>
      <w:ind w:left="720"/>
      <w:contextualSpacing/>
    </w:pPr>
  </w:style>
  <w:style w:type="paragraph" w:styleId="Header">
    <w:name w:val="header"/>
    <w:basedOn w:val="Normal"/>
    <w:link w:val="HeaderChar"/>
    <w:rsid w:val="00757482"/>
    <w:pPr>
      <w:tabs>
        <w:tab w:val="center" w:pos="4680"/>
        <w:tab w:val="right" w:pos="9360"/>
      </w:tabs>
    </w:pPr>
  </w:style>
  <w:style w:type="character" w:customStyle="1" w:styleId="HeaderChar">
    <w:name w:val="Header Char"/>
    <w:basedOn w:val="DefaultParagraphFont"/>
    <w:link w:val="Header"/>
    <w:rsid w:val="00757482"/>
    <w:rPr>
      <w:sz w:val="24"/>
      <w:szCs w:val="24"/>
    </w:rPr>
  </w:style>
  <w:style w:type="paragraph" w:styleId="Footer">
    <w:name w:val="footer"/>
    <w:basedOn w:val="Normal"/>
    <w:link w:val="FooterChar"/>
    <w:rsid w:val="00757482"/>
    <w:pPr>
      <w:tabs>
        <w:tab w:val="center" w:pos="4680"/>
        <w:tab w:val="right" w:pos="9360"/>
      </w:tabs>
    </w:pPr>
  </w:style>
  <w:style w:type="character" w:customStyle="1" w:styleId="FooterChar">
    <w:name w:val="Footer Char"/>
    <w:basedOn w:val="DefaultParagraphFont"/>
    <w:link w:val="Footer"/>
    <w:rsid w:val="00757482"/>
    <w:rPr>
      <w:sz w:val="24"/>
      <w:szCs w:val="24"/>
    </w:rPr>
  </w:style>
  <w:style w:type="table" w:styleId="TableGrid">
    <w:name w:val="Table Grid"/>
    <w:basedOn w:val="TableNormal"/>
    <w:rsid w:val="005A0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2526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025263"/>
    <w:rPr>
      <w:i/>
      <w:iCs/>
    </w:rPr>
  </w:style>
  <w:style w:type="paragraph" w:styleId="Subtitle">
    <w:name w:val="Subtitle"/>
    <w:basedOn w:val="Normal"/>
    <w:next w:val="Normal"/>
    <w:link w:val="SubtitleChar"/>
    <w:qFormat/>
    <w:rsid w:val="0002526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2526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8E4363"/>
    <w:rPr>
      <w:b/>
      <w:bCs/>
    </w:rPr>
  </w:style>
  <w:style w:type="paragraph" w:styleId="Title">
    <w:name w:val="Title"/>
    <w:basedOn w:val="Normal"/>
    <w:next w:val="Normal"/>
    <w:link w:val="TitleChar"/>
    <w:qFormat/>
    <w:rsid w:val="008E43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E436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6365">
      <w:bodyDiv w:val="1"/>
      <w:marLeft w:val="0"/>
      <w:marRight w:val="0"/>
      <w:marTop w:val="0"/>
      <w:marBottom w:val="0"/>
      <w:divBdr>
        <w:top w:val="none" w:sz="0" w:space="0" w:color="auto"/>
        <w:left w:val="none" w:sz="0" w:space="0" w:color="auto"/>
        <w:bottom w:val="none" w:sz="0" w:space="0" w:color="auto"/>
        <w:right w:val="none" w:sz="0" w:space="0" w:color="auto"/>
      </w:divBdr>
      <w:divsChild>
        <w:div w:id="558590870">
          <w:marLeft w:val="576"/>
          <w:marRight w:val="0"/>
          <w:marTop w:val="60"/>
          <w:marBottom w:val="0"/>
          <w:divBdr>
            <w:top w:val="none" w:sz="0" w:space="0" w:color="auto"/>
            <w:left w:val="none" w:sz="0" w:space="0" w:color="auto"/>
            <w:bottom w:val="none" w:sz="0" w:space="0" w:color="auto"/>
            <w:right w:val="none" w:sz="0" w:space="0" w:color="auto"/>
          </w:divBdr>
        </w:div>
        <w:div w:id="67266207">
          <w:marLeft w:val="576"/>
          <w:marRight w:val="0"/>
          <w:marTop w:val="60"/>
          <w:marBottom w:val="0"/>
          <w:divBdr>
            <w:top w:val="none" w:sz="0" w:space="0" w:color="auto"/>
            <w:left w:val="none" w:sz="0" w:space="0" w:color="auto"/>
            <w:bottom w:val="none" w:sz="0" w:space="0" w:color="auto"/>
            <w:right w:val="none" w:sz="0" w:space="0" w:color="auto"/>
          </w:divBdr>
        </w:div>
      </w:divsChild>
    </w:div>
    <w:div w:id="718936608">
      <w:bodyDiv w:val="1"/>
      <w:marLeft w:val="0"/>
      <w:marRight w:val="0"/>
      <w:marTop w:val="0"/>
      <w:marBottom w:val="0"/>
      <w:divBdr>
        <w:top w:val="none" w:sz="0" w:space="0" w:color="auto"/>
        <w:left w:val="none" w:sz="0" w:space="0" w:color="auto"/>
        <w:bottom w:val="none" w:sz="0" w:space="0" w:color="auto"/>
        <w:right w:val="none" w:sz="0" w:space="0" w:color="auto"/>
      </w:divBdr>
      <w:divsChild>
        <w:div w:id="1805926494">
          <w:marLeft w:val="576"/>
          <w:marRight w:val="0"/>
          <w:marTop w:val="60"/>
          <w:marBottom w:val="0"/>
          <w:divBdr>
            <w:top w:val="none" w:sz="0" w:space="0" w:color="auto"/>
            <w:left w:val="none" w:sz="0" w:space="0" w:color="auto"/>
            <w:bottom w:val="none" w:sz="0" w:space="0" w:color="auto"/>
            <w:right w:val="none" w:sz="0" w:space="0" w:color="auto"/>
          </w:divBdr>
        </w:div>
        <w:div w:id="1920402592">
          <w:marLeft w:val="1037"/>
          <w:marRight w:val="0"/>
          <w:marTop w:val="60"/>
          <w:marBottom w:val="0"/>
          <w:divBdr>
            <w:top w:val="none" w:sz="0" w:space="0" w:color="auto"/>
            <w:left w:val="none" w:sz="0" w:space="0" w:color="auto"/>
            <w:bottom w:val="none" w:sz="0" w:space="0" w:color="auto"/>
            <w:right w:val="none" w:sz="0" w:space="0" w:color="auto"/>
          </w:divBdr>
        </w:div>
        <w:div w:id="1275286708">
          <w:marLeft w:val="1037"/>
          <w:marRight w:val="0"/>
          <w:marTop w:val="60"/>
          <w:marBottom w:val="0"/>
          <w:divBdr>
            <w:top w:val="none" w:sz="0" w:space="0" w:color="auto"/>
            <w:left w:val="none" w:sz="0" w:space="0" w:color="auto"/>
            <w:bottom w:val="none" w:sz="0" w:space="0" w:color="auto"/>
            <w:right w:val="none" w:sz="0" w:space="0" w:color="auto"/>
          </w:divBdr>
        </w:div>
        <w:div w:id="412509392">
          <w:marLeft w:val="1037"/>
          <w:marRight w:val="0"/>
          <w:marTop w:val="60"/>
          <w:marBottom w:val="0"/>
          <w:divBdr>
            <w:top w:val="none" w:sz="0" w:space="0" w:color="auto"/>
            <w:left w:val="none" w:sz="0" w:space="0" w:color="auto"/>
            <w:bottom w:val="none" w:sz="0" w:space="0" w:color="auto"/>
            <w:right w:val="none" w:sz="0" w:space="0" w:color="auto"/>
          </w:divBdr>
        </w:div>
        <w:div w:id="1957329588">
          <w:marLeft w:val="1037"/>
          <w:marRight w:val="0"/>
          <w:marTop w:val="60"/>
          <w:marBottom w:val="0"/>
          <w:divBdr>
            <w:top w:val="none" w:sz="0" w:space="0" w:color="auto"/>
            <w:left w:val="none" w:sz="0" w:space="0" w:color="auto"/>
            <w:bottom w:val="none" w:sz="0" w:space="0" w:color="auto"/>
            <w:right w:val="none" w:sz="0" w:space="0" w:color="auto"/>
          </w:divBdr>
        </w:div>
        <w:div w:id="190146145">
          <w:marLeft w:val="576"/>
          <w:marRight w:val="0"/>
          <w:marTop w:val="60"/>
          <w:marBottom w:val="0"/>
          <w:divBdr>
            <w:top w:val="none" w:sz="0" w:space="0" w:color="auto"/>
            <w:left w:val="none" w:sz="0" w:space="0" w:color="auto"/>
            <w:bottom w:val="none" w:sz="0" w:space="0" w:color="auto"/>
            <w:right w:val="none" w:sz="0" w:space="0" w:color="auto"/>
          </w:divBdr>
        </w:div>
        <w:div w:id="607205297">
          <w:marLeft w:val="576"/>
          <w:marRight w:val="0"/>
          <w:marTop w:val="60"/>
          <w:marBottom w:val="0"/>
          <w:divBdr>
            <w:top w:val="none" w:sz="0" w:space="0" w:color="auto"/>
            <w:left w:val="none" w:sz="0" w:space="0" w:color="auto"/>
            <w:bottom w:val="none" w:sz="0" w:space="0" w:color="auto"/>
            <w:right w:val="none" w:sz="0" w:space="0" w:color="auto"/>
          </w:divBdr>
        </w:div>
      </w:divsChild>
    </w:div>
    <w:div w:id="1164856199">
      <w:bodyDiv w:val="1"/>
      <w:marLeft w:val="0"/>
      <w:marRight w:val="0"/>
      <w:marTop w:val="0"/>
      <w:marBottom w:val="0"/>
      <w:divBdr>
        <w:top w:val="none" w:sz="0" w:space="0" w:color="auto"/>
        <w:left w:val="none" w:sz="0" w:space="0" w:color="auto"/>
        <w:bottom w:val="none" w:sz="0" w:space="0" w:color="auto"/>
        <w:right w:val="none" w:sz="0" w:space="0" w:color="auto"/>
      </w:divBdr>
      <w:divsChild>
        <w:div w:id="690032691">
          <w:marLeft w:val="576"/>
          <w:marRight w:val="0"/>
          <w:marTop w:val="60"/>
          <w:marBottom w:val="0"/>
          <w:divBdr>
            <w:top w:val="none" w:sz="0" w:space="0" w:color="auto"/>
            <w:left w:val="none" w:sz="0" w:space="0" w:color="auto"/>
            <w:bottom w:val="none" w:sz="0" w:space="0" w:color="auto"/>
            <w:right w:val="none" w:sz="0" w:space="0" w:color="auto"/>
          </w:divBdr>
        </w:div>
        <w:div w:id="142895295">
          <w:marLeft w:val="576"/>
          <w:marRight w:val="0"/>
          <w:marTop w:val="60"/>
          <w:marBottom w:val="0"/>
          <w:divBdr>
            <w:top w:val="none" w:sz="0" w:space="0" w:color="auto"/>
            <w:left w:val="none" w:sz="0" w:space="0" w:color="auto"/>
            <w:bottom w:val="none" w:sz="0" w:space="0" w:color="auto"/>
            <w:right w:val="none" w:sz="0" w:space="0" w:color="auto"/>
          </w:divBdr>
        </w:div>
        <w:div w:id="650017479">
          <w:marLeft w:val="576"/>
          <w:marRight w:val="0"/>
          <w:marTop w:val="60"/>
          <w:marBottom w:val="0"/>
          <w:divBdr>
            <w:top w:val="none" w:sz="0" w:space="0" w:color="auto"/>
            <w:left w:val="none" w:sz="0" w:space="0" w:color="auto"/>
            <w:bottom w:val="none" w:sz="0" w:space="0" w:color="auto"/>
            <w:right w:val="none" w:sz="0" w:space="0" w:color="auto"/>
          </w:divBdr>
        </w:div>
        <w:div w:id="676276595">
          <w:marLeft w:val="576"/>
          <w:marRight w:val="0"/>
          <w:marTop w:val="60"/>
          <w:marBottom w:val="0"/>
          <w:divBdr>
            <w:top w:val="none" w:sz="0" w:space="0" w:color="auto"/>
            <w:left w:val="none" w:sz="0" w:space="0" w:color="auto"/>
            <w:bottom w:val="none" w:sz="0" w:space="0" w:color="auto"/>
            <w:right w:val="none" w:sz="0" w:space="0" w:color="auto"/>
          </w:divBdr>
        </w:div>
        <w:div w:id="1024793407">
          <w:marLeft w:val="576"/>
          <w:marRight w:val="0"/>
          <w:marTop w:val="60"/>
          <w:marBottom w:val="0"/>
          <w:divBdr>
            <w:top w:val="none" w:sz="0" w:space="0" w:color="auto"/>
            <w:left w:val="none" w:sz="0" w:space="0" w:color="auto"/>
            <w:bottom w:val="none" w:sz="0" w:space="0" w:color="auto"/>
            <w:right w:val="none" w:sz="0" w:space="0" w:color="auto"/>
          </w:divBdr>
        </w:div>
      </w:divsChild>
    </w:div>
    <w:div w:id="1293093768">
      <w:bodyDiv w:val="1"/>
      <w:marLeft w:val="0"/>
      <w:marRight w:val="0"/>
      <w:marTop w:val="0"/>
      <w:marBottom w:val="0"/>
      <w:divBdr>
        <w:top w:val="none" w:sz="0" w:space="0" w:color="auto"/>
        <w:left w:val="none" w:sz="0" w:space="0" w:color="auto"/>
        <w:bottom w:val="none" w:sz="0" w:space="0" w:color="auto"/>
        <w:right w:val="none" w:sz="0" w:space="0" w:color="auto"/>
      </w:divBdr>
      <w:divsChild>
        <w:div w:id="437995083">
          <w:marLeft w:val="576"/>
          <w:marRight w:val="0"/>
          <w:marTop w:val="60"/>
          <w:marBottom w:val="0"/>
          <w:divBdr>
            <w:top w:val="none" w:sz="0" w:space="0" w:color="auto"/>
            <w:left w:val="none" w:sz="0" w:space="0" w:color="auto"/>
            <w:bottom w:val="none" w:sz="0" w:space="0" w:color="auto"/>
            <w:right w:val="none" w:sz="0" w:space="0" w:color="auto"/>
          </w:divBdr>
        </w:div>
        <w:div w:id="1424641259">
          <w:marLeft w:val="1037"/>
          <w:marRight w:val="0"/>
          <w:marTop w:val="60"/>
          <w:marBottom w:val="0"/>
          <w:divBdr>
            <w:top w:val="none" w:sz="0" w:space="0" w:color="auto"/>
            <w:left w:val="none" w:sz="0" w:space="0" w:color="auto"/>
            <w:bottom w:val="none" w:sz="0" w:space="0" w:color="auto"/>
            <w:right w:val="none" w:sz="0" w:space="0" w:color="auto"/>
          </w:divBdr>
        </w:div>
        <w:div w:id="1082876944">
          <w:marLeft w:val="1454"/>
          <w:marRight w:val="0"/>
          <w:marTop w:val="60"/>
          <w:marBottom w:val="0"/>
          <w:divBdr>
            <w:top w:val="none" w:sz="0" w:space="0" w:color="auto"/>
            <w:left w:val="none" w:sz="0" w:space="0" w:color="auto"/>
            <w:bottom w:val="none" w:sz="0" w:space="0" w:color="auto"/>
            <w:right w:val="none" w:sz="0" w:space="0" w:color="auto"/>
          </w:divBdr>
        </w:div>
        <w:div w:id="2089307130">
          <w:marLeft w:val="1454"/>
          <w:marRight w:val="0"/>
          <w:marTop w:val="60"/>
          <w:marBottom w:val="0"/>
          <w:divBdr>
            <w:top w:val="none" w:sz="0" w:space="0" w:color="auto"/>
            <w:left w:val="none" w:sz="0" w:space="0" w:color="auto"/>
            <w:bottom w:val="none" w:sz="0" w:space="0" w:color="auto"/>
            <w:right w:val="none" w:sz="0" w:space="0" w:color="auto"/>
          </w:divBdr>
        </w:div>
        <w:div w:id="1184710465">
          <w:marLeft w:val="1454"/>
          <w:marRight w:val="0"/>
          <w:marTop w:val="60"/>
          <w:marBottom w:val="0"/>
          <w:divBdr>
            <w:top w:val="none" w:sz="0" w:space="0" w:color="auto"/>
            <w:left w:val="none" w:sz="0" w:space="0" w:color="auto"/>
            <w:bottom w:val="none" w:sz="0" w:space="0" w:color="auto"/>
            <w:right w:val="none" w:sz="0" w:space="0" w:color="auto"/>
          </w:divBdr>
        </w:div>
        <w:div w:id="863905414">
          <w:marLeft w:val="1454"/>
          <w:marRight w:val="0"/>
          <w:marTop w:val="60"/>
          <w:marBottom w:val="0"/>
          <w:divBdr>
            <w:top w:val="none" w:sz="0" w:space="0" w:color="auto"/>
            <w:left w:val="none" w:sz="0" w:space="0" w:color="auto"/>
            <w:bottom w:val="none" w:sz="0" w:space="0" w:color="auto"/>
            <w:right w:val="none" w:sz="0" w:space="0" w:color="auto"/>
          </w:divBdr>
        </w:div>
        <w:div w:id="340476011">
          <w:marLeft w:val="1037"/>
          <w:marRight w:val="0"/>
          <w:marTop w:val="60"/>
          <w:marBottom w:val="0"/>
          <w:divBdr>
            <w:top w:val="none" w:sz="0" w:space="0" w:color="auto"/>
            <w:left w:val="none" w:sz="0" w:space="0" w:color="auto"/>
            <w:bottom w:val="none" w:sz="0" w:space="0" w:color="auto"/>
            <w:right w:val="none" w:sz="0" w:space="0" w:color="auto"/>
          </w:divBdr>
        </w:div>
        <w:div w:id="475032245">
          <w:marLeft w:val="1037"/>
          <w:marRight w:val="0"/>
          <w:marTop w:val="60"/>
          <w:marBottom w:val="0"/>
          <w:divBdr>
            <w:top w:val="none" w:sz="0" w:space="0" w:color="auto"/>
            <w:left w:val="none" w:sz="0" w:space="0" w:color="auto"/>
            <w:bottom w:val="none" w:sz="0" w:space="0" w:color="auto"/>
            <w:right w:val="none" w:sz="0" w:space="0" w:color="auto"/>
          </w:divBdr>
        </w:div>
      </w:divsChild>
    </w:div>
    <w:div w:id="1942257510">
      <w:bodyDiv w:val="1"/>
      <w:marLeft w:val="0"/>
      <w:marRight w:val="0"/>
      <w:marTop w:val="0"/>
      <w:marBottom w:val="0"/>
      <w:divBdr>
        <w:top w:val="none" w:sz="0" w:space="0" w:color="auto"/>
        <w:left w:val="none" w:sz="0" w:space="0" w:color="auto"/>
        <w:bottom w:val="none" w:sz="0" w:space="0" w:color="auto"/>
        <w:right w:val="none" w:sz="0" w:space="0" w:color="auto"/>
      </w:divBdr>
      <w:divsChild>
        <w:div w:id="1779830434">
          <w:marLeft w:val="576"/>
          <w:marRight w:val="0"/>
          <w:marTop w:val="60"/>
          <w:marBottom w:val="0"/>
          <w:divBdr>
            <w:top w:val="none" w:sz="0" w:space="0" w:color="auto"/>
            <w:left w:val="none" w:sz="0" w:space="0" w:color="auto"/>
            <w:bottom w:val="none" w:sz="0" w:space="0" w:color="auto"/>
            <w:right w:val="none" w:sz="0" w:space="0" w:color="auto"/>
          </w:divBdr>
        </w:div>
        <w:div w:id="2021155172">
          <w:marLeft w:val="1037"/>
          <w:marRight w:val="0"/>
          <w:marTop w:val="60"/>
          <w:marBottom w:val="0"/>
          <w:divBdr>
            <w:top w:val="none" w:sz="0" w:space="0" w:color="auto"/>
            <w:left w:val="none" w:sz="0" w:space="0" w:color="auto"/>
            <w:bottom w:val="none" w:sz="0" w:space="0" w:color="auto"/>
            <w:right w:val="none" w:sz="0" w:space="0" w:color="auto"/>
          </w:divBdr>
        </w:div>
        <w:div w:id="1570460880">
          <w:marLeft w:val="1037"/>
          <w:marRight w:val="0"/>
          <w:marTop w:val="60"/>
          <w:marBottom w:val="0"/>
          <w:divBdr>
            <w:top w:val="none" w:sz="0" w:space="0" w:color="auto"/>
            <w:left w:val="none" w:sz="0" w:space="0" w:color="auto"/>
            <w:bottom w:val="none" w:sz="0" w:space="0" w:color="auto"/>
            <w:right w:val="none" w:sz="0" w:space="0" w:color="auto"/>
          </w:divBdr>
        </w:div>
        <w:div w:id="1621180590">
          <w:marLeft w:val="1037"/>
          <w:marRight w:val="0"/>
          <w:marTop w:val="60"/>
          <w:marBottom w:val="0"/>
          <w:divBdr>
            <w:top w:val="none" w:sz="0" w:space="0" w:color="auto"/>
            <w:left w:val="none" w:sz="0" w:space="0" w:color="auto"/>
            <w:bottom w:val="none" w:sz="0" w:space="0" w:color="auto"/>
            <w:right w:val="none" w:sz="0" w:space="0" w:color="auto"/>
          </w:divBdr>
        </w:div>
        <w:div w:id="138117503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currend</dc:creator>
  <cp:lastModifiedBy>dwright</cp:lastModifiedBy>
  <cp:revision>4</cp:revision>
  <dcterms:created xsi:type="dcterms:W3CDTF">2014-07-03T23:36:00Z</dcterms:created>
  <dcterms:modified xsi:type="dcterms:W3CDTF">2014-10-03T14:20:00Z</dcterms:modified>
</cp:coreProperties>
</file>